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6DE8F5" w14:textId="77777777" w:rsidR="00667B55" w:rsidRPr="003E7C55" w:rsidRDefault="00667B55" w:rsidP="00667B55">
      <w:pPr>
        <w:autoSpaceDE w:val="0"/>
        <w:autoSpaceDN w:val="0"/>
        <w:adjustRightInd w:val="0"/>
        <w:spacing w:after="0" w:line="240" w:lineRule="auto"/>
        <w:rPr>
          <w:rFonts w:ascii="Arial" w:eastAsia="Times New Roman" w:hAnsi="Arial" w:cs="Arial"/>
          <w:sz w:val="20"/>
          <w:szCs w:val="20"/>
        </w:rPr>
      </w:pPr>
      <w:r w:rsidRPr="003E7C55">
        <w:rPr>
          <w:rFonts w:ascii="Arial" w:eastAsia="Times New Roman" w:hAnsi="Arial" w:cs="Arial"/>
          <w:noProof/>
          <w:sz w:val="20"/>
          <w:szCs w:val="20"/>
          <w:lang w:eastAsia="sl-SI"/>
        </w:rPr>
        <w:drawing>
          <wp:inline distT="0" distB="0" distL="0" distR="0" wp14:anchorId="0DDEC3D8" wp14:editId="360BEA12">
            <wp:extent cx="2874645" cy="497205"/>
            <wp:effectExtent l="0" t="0" r="190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74645" cy="497205"/>
                    </a:xfrm>
                    <a:prstGeom prst="rect">
                      <a:avLst/>
                    </a:prstGeom>
                    <a:noFill/>
                    <a:ln>
                      <a:noFill/>
                    </a:ln>
                  </pic:spPr>
                </pic:pic>
              </a:graphicData>
            </a:graphic>
          </wp:inline>
        </w:drawing>
      </w:r>
    </w:p>
    <w:p w14:paraId="4B8ECB0E" w14:textId="1C035728" w:rsidR="00667B55" w:rsidRPr="003E7C55" w:rsidRDefault="00667B55" w:rsidP="00644570">
      <w:pPr>
        <w:tabs>
          <w:tab w:val="left" w:pos="709"/>
          <w:tab w:val="left" w:pos="5030"/>
          <w:tab w:val="left" w:pos="5112"/>
        </w:tabs>
        <w:spacing w:after="0" w:line="240" w:lineRule="exact"/>
        <w:rPr>
          <w:rFonts w:ascii="Arial" w:eastAsia="Times New Roman" w:hAnsi="Arial" w:cs="Arial"/>
          <w:b/>
          <w:caps/>
          <w:sz w:val="16"/>
          <w:szCs w:val="16"/>
        </w:rPr>
      </w:pPr>
      <w:r w:rsidRPr="003E7C55">
        <w:rPr>
          <w:rFonts w:ascii="Arial" w:eastAsia="Times New Roman" w:hAnsi="Arial" w:cs="Arial"/>
          <w:sz w:val="20"/>
          <w:szCs w:val="20"/>
        </w:rPr>
        <w:tab/>
      </w:r>
      <w:r w:rsidRPr="003E7C55">
        <w:rPr>
          <w:rFonts w:ascii="Arial" w:eastAsia="Times New Roman" w:hAnsi="Arial" w:cs="Arial"/>
          <w:sz w:val="16"/>
          <w:szCs w:val="16"/>
        </w:rPr>
        <w:t>Kotnikova 5, 1000 Ljubljana</w:t>
      </w:r>
      <w:r w:rsidRPr="003E7C55">
        <w:rPr>
          <w:rFonts w:ascii="Arial" w:eastAsia="Times New Roman" w:hAnsi="Arial" w:cs="Arial"/>
          <w:sz w:val="16"/>
          <w:szCs w:val="16"/>
        </w:rPr>
        <w:tab/>
      </w:r>
      <w:r w:rsidR="005E229E">
        <w:rPr>
          <w:rFonts w:ascii="Arial" w:eastAsia="Times New Roman" w:hAnsi="Arial" w:cs="Arial"/>
          <w:sz w:val="16"/>
          <w:szCs w:val="16"/>
        </w:rPr>
        <w:tab/>
      </w:r>
      <w:r w:rsidR="005E229E">
        <w:rPr>
          <w:rFonts w:ascii="Arial" w:eastAsia="Times New Roman" w:hAnsi="Arial" w:cs="Arial"/>
          <w:sz w:val="16"/>
          <w:szCs w:val="16"/>
        </w:rPr>
        <w:tab/>
      </w:r>
      <w:r w:rsidR="005E229E">
        <w:rPr>
          <w:rFonts w:ascii="Arial" w:eastAsia="Times New Roman" w:hAnsi="Arial" w:cs="Arial"/>
          <w:sz w:val="16"/>
          <w:szCs w:val="16"/>
        </w:rPr>
        <w:tab/>
      </w:r>
      <w:r w:rsidRPr="003E7C55">
        <w:rPr>
          <w:rFonts w:ascii="Arial" w:eastAsia="Times New Roman" w:hAnsi="Arial" w:cs="Arial"/>
          <w:sz w:val="16"/>
          <w:szCs w:val="16"/>
        </w:rPr>
        <w:t>T: 01 400 36 80</w:t>
      </w:r>
    </w:p>
    <w:p w14:paraId="4010BFF0" w14:textId="6392E201" w:rsidR="00667B55" w:rsidRPr="003E7C55" w:rsidRDefault="00667B55" w:rsidP="00667B55">
      <w:pPr>
        <w:tabs>
          <w:tab w:val="left" w:pos="5112"/>
        </w:tabs>
        <w:spacing w:after="0" w:line="240" w:lineRule="exact"/>
        <w:rPr>
          <w:rFonts w:ascii="Arial" w:eastAsia="Times New Roman" w:hAnsi="Arial" w:cs="Arial"/>
          <w:sz w:val="16"/>
          <w:szCs w:val="16"/>
        </w:rPr>
      </w:pPr>
      <w:r w:rsidRPr="003E7C55">
        <w:rPr>
          <w:rFonts w:ascii="Arial" w:eastAsia="Times New Roman" w:hAnsi="Arial" w:cs="Arial"/>
          <w:sz w:val="16"/>
          <w:szCs w:val="16"/>
        </w:rPr>
        <w:tab/>
      </w:r>
      <w:r w:rsidR="005E229E">
        <w:rPr>
          <w:rFonts w:ascii="Arial" w:eastAsia="Times New Roman" w:hAnsi="Arial" w:cs="Arial"/>
          <w:sz w:val="16"/>
          <w:szCs w:val="16"/>
        </w:rPr>
        <w:tab/>
      </w:r>
      <w:r w:rsidR="005E229E">
        <w:rPr>
          <w:rFonts w:ascii="Arial" w:eastAsia="Times New Roman" w:hAnsi="Arial" w:cs="Arial"/>
          <w:sz w:val="16"/>
          <w:szCs w:val="16"/>
        </w:rPr>
        <w:tab/>
      </w:r>
      <w:r w:rsidRPr="003E7C55">
        <w:rPr>
          <w:rFonts w:ascii="Arial" w:eastAsia="Times New Roman" w:hAnsi="Arial" w:cs="Arial"/>
          <w:sz w:val="16"/>
          <w:szCs w:val="16"/>
        </w:rPr>
        <w:t xml:space="preserve">E: </w:t>
      </w:r>
      <w:proofErr w:type="spellStart"/>
      <w:r w:rsidRPr="003E7C55">
        <w:rPr>
          <w:rFonts w:ascii="Arial" w:eastAsia="Times New Roman" w:hAnsi="Arial" w:cs="Arial"/>
          <w:sz w:val="16"/>
          <w:szCs w:val="16"/>
        </w:rPr>
        <w:t>gp.svrk</w:t>
      </w:r>
      <w:proofErr w:type="spellEnd"/>
      <w:r w:rsidRPr="003E7C55">
        <w:rPr>
          <w:rFonts w:ascii="Arial" w:eastAsia="Times New Roman" w:hAnsi="Arial" w:cs="Arial"/>
          <w:sz w:val="16"/>
          <w:szCs w:val="16"/>
        </w:rPr>
        <w:t xml:space="preserve"> @</w:t>
      </w:r>
      <w:proofErr w:type="spellStart"/>
      <w:r w:rsidRPr="003E7C55">
        <w:rPr>
          <w:rFonts w:ascii="Arial" w:eastAsia="Times New Roman" w:hAnsi="Arial" w:cs="Arial"/>
          <w:sz w:val="16"/>
          <w:szCs w:val="16"/>
        </w:rPr>
        <w:t>gov.si</w:t>
      </w:r>
      <w:proofErr w:type="spellEnd"/>
    </w:p>
    <w:p w14:paraId="700192D5" w14:textId="77777777" w:rsidR="00FB706E" w:rsidRDefault="00FB706E" w:rsidP="00667B55">
      <w:pPr>
        <w:tabs>
          <w:tab w:val="left" w:pos="5112"/>
        </w:tabs>
        <w:spacing w:after="0" w:line="240" w:lineRule="exact"/>
        <w:rPr>
          <w:rFonts w:ascii="Arial" w:eastAsia="Times New Roman" w:hAnsi="Arial" w:cs="Arial"/>
          <w:sz w:val="20"/>
          <w:szCs w:val="20"/>
        </w:rPr>
      </w:pPr>
    </w:p>
    <w:p w14:paraId="2BB93C20" w14:textId="77777777" w:rsidR="00B477DD" w:rsidRDefault="00B477DD" w:rsidP="00C87588">
      <w:pPr>
        <w:jc w:val="center"/>
        <w:rPr>
          <w:rFonts w:ascii="Arial" w:eastAsia="SimSun" w:hAnsi="Arial" w:cs="Arial"/>
          <w:b/>
          <w:color w:val="000000"/>
          <w:sz w:val="20"/>
          <w:szCs w:val="20"/>
          <w:lang w:eastAsia="zh-CN"/>
        </w:rPr>
      </w:pPr>
    </w:p>
    <w:p w14:paraId="7C4451FE" w14:textId="16754078" w:rsidR="00B477DD" w:rsidRPr="002B0EBC" w:rsidRDefault="002B0EBC" w:rsidP="002B0EBC">
      <w:pPr>
        <w:jc w:val="both"/>
        <w:rPr>
          <w:rFonts w:ascii="Arial" w:eastAsia="SimSun" w:hAnsi="Arial" w:cs="Arial"/>
          <w:color w:val="000000"/>
          <w:sz w:val="20"/>
          <w:szCs w:val="20"/>
          <w:lang w:eastAsia="zh-CN"/>
        </w:rPr>
      </w:pPr>
      <w:r w:rsidRPr="002B0EBC">
        <w:rPr>
          <w:rFonts w:ascii="Arial" w:eastAsia="SimSun" w:hAnsi="Arial" w:cs="Arial"/>
          <w:color w:val="000000"/>
          <w:sz w:val="20"/>
          <w:szCs w:val="20"/>
          <w:lang w:eastAsia="zh-CN"/>
        </w:rPr>
        <w:t>Datum: 30.5.2017</w:t>
      </w:r>
      <w:bookmarkStart w:id="0" w:name="_GoBack"/>
      <w:bookmarkEnd w:id="0"/>
    </w:p>
    <w:p w14:paraId="732E0FDF" w14:textId="77777777" w:rsidR="00C87588" w:rsidRPr="00AE639E" w:rsidRDefault="00C87588" w:rsidP="00C87588">
      <w:pPr>
        <w:jc w:val="center"/>
        <w:rPr>
          <w:rFonts w:ascii="Arial" w:hAnsi="Arial" w:cs="Arial"/>
          <w:b/>
          <w:sz w:val="20"/>
          <w:szCs w:val="20"/>
        </w:rPr>
      </w:pPr>
      <w:r w:rsidRPr="00AE639E">
        <w:rPr>
          <w:rFonts w:ascii="Arial" w:eastAsia="SimSun" w:hAnsi="Arial" w:cs="Arial"/>
          <w:b/>
          <w:color w:val="000000"/>
          <w:sz w:val="20"/>
          <w:szCs w:val="20"/>
          <w:lang w:eastAsia="zh-CN"/>
        </w:rPr>
        <w:t xml:space="preserve">IZHODIŠČA ZA SPREMEMBO OPERATIVNEGA PROGRAMA ZA IZVAJANJE EVROPSKE KOHEZIJSKE POLITIKE </w:t>
      </w:r>
      <w:r>
        <w:rPr>
          <w:rFonts w:ascii="Arial" w:eastAsia="SimSun" w:hAnsi="Arial" w:cs="Arial"/>
          <w:b/>
          <w:color w:val="000000"/>
          <w:sz w:val="20"/>
          <w:szCs w:val="20"/>
          <w:lang w:eastAsia="zh-CN"/>
        </w:rPr>
        <w:t>V</w:t>
      </w:r>
      <w:r w:rsidRPr="00AE639E">
        <w:rPr>
          <w:rFonts w:ascii="Arial" w:eastAsia="SimSun" w:hAnsi="Arial" w:cs="Arial"/>
          <w:b/>
          <w:color w:val="000000"/>
          <w:sz w:val="20"/>
          <w:szCs w:val="20"/>
          <w:lang w:eastAsia="zh-CN"/>
        </w:rPr>
        <w:t xml:space="preserve"> OBDOBJ</w:t>
      </w:r>
      <w:r>
        <w:rPr>
          <w:rFonts w:ascii="Arial" w:eastAsia="SimSun" w:hAnsi="Arial" w:cs="Arial"/>
          <w:b/>
          <w:color w:val="000000"/>
          <w:sz w:val="20"/>
          <w:szCs w:val="20"/>
          <w:lang w:eastAsia="zh-CN"/>
        </w:rPr>
        <w:t>U</w:t>
      </w:r>
      <w:r w:rsidRPr="00AE639E">
        <w:rPr>
          <w:rFonts w:ascii="Arial" w:eastAsia="SimSun" w:hAnsi="Arial" w:cs="Arial"/>
          <w:b/>
          <w:color w:val="000000"/>
          <w:sz w:val="20"/>
          <w:szCs w:val="20"/>
          <w:lang w:eastAsia="zh-CN"/>
        </w:rPr>
        <w:t xml:space="preserve"> 2014</w:t>
      </w:r>
      <w:r>
        <w:rPr>
          <w:rFonts w:ascii="Arial" w:eastAsia="SimSun" w:hAnsi="Arial" w:cs="Arial"/>
          <w:b/>
          <w:color w:val="000000"/>
          <w:sz w:val="20"/>
          <w:szCs w:val="20"/>
          <w:lang w:eastAsia="zh-CN"/>
        </w:rPr>
        <w:t>–</w:t>
      </w:r>
      <w:r w:rsidRPr="00AE639E">
        <w:rPr>
          <w:rFonts w:ascii="Arial" w:eastAsia="SimSun" w:hAnsi="Arial" w:cs="Arial"/>
          <w:b/>
          <w:color w:val="000000"/>
          <w:sz w:val="20"/>
          <w:szCs w:val="20"/>
          <w:lang w:eastAsia="zh-CN"/>
        </w:rPr>
        <w:t xml:space="preserve">2020 </w:t>
      </w:r>
    </w:p>
    <w:p w14:paraId="4923C0FE" w14:textId="77777777" w:rsidR="00C87588" w:rsidRPr="00AE639E" w:rsidRDefault="00C87588" w:rsidP="00C87588">
      <w:pPr>
        <w:spacing w:after="0"/>
        <w:jc w:val="both"/>
        <w:rPr>
          <w:rFonts w:ascii="Arial" w:hAnsi="Arial" w:cs="Arial"/>
          <w:sz w:val="20"/>
          <w:szCs w:val="20"/>
        </w:rPr>
      </w:pPr>
    </w:p>
    <w:p w14:paraId="7BAFA829" w14:textId="77777777" w:rsidR="00C87588" w:rsidRPr="00AE639E" w:rsidRDefault="00C87588" w:rsidP="00C87588">
      <w:pPr>
        <w:numPr>
          <w:ilvl w:val="0"/>
          <w:numId w:val="11"/>
        </w:numPr>
        <w:spacing w:after="0" w:line="260" w:lineRule="atLeast"/>
        <w:ind w:hanging="720"/>
        <w:contextualSpacing/>
        <w:jc w:val="both"/>
        <w:rPr>
          <w:rFonts w:ascii="Arial" w:eastAsia="Times New Roman" w:hAnsi="Arial" w:cstheme="minorBidi"/>
          <w:b/>
          <w:sz w:val="20"/>
          <w:szCs w:val="24"/>
        </w:rPr>
      </w:pPr>
      <w:r>
        <w:rPr>
          <w:rFonts w:ascii="Arial" w:eastAsia="Times New Roman" w:hAnsi="Arial" w:cstheme="minorBidi"/>
          <w:b/>
          <w:sz w:val="20"/>
          <w:szCs w:val="24"/>
        </w:rPr>
        <w:t>Uvodna pojasnila</w:t>
      </w:r>
    </w:p>
    <w:p w14:paraId="1CD32F92" w14:textId="77777777" w:rsidR="00C87588" w:rsidRPr="00AE639E" w:rsidRDefault="00C87588" w:rsidP="00C87588">
      <w:pPr>
        <w:spacing w:after="0" w:line="260" w:lineRule="atLeast"/>
        <w:jc w:val="both"/>
        <w:rPr>
          <w:rFonts w:ascii="Arial" w:eastAsia="Times New Roman" w:hAnsi="Arial"/>
          <w:b/>
          <w:sz w:val="20"/>
          <w:szCs w:val="24"/>
        </w:rPr>
      </w:pPr>
    </w:p>
    <w:p w14:paraId="6CD4C57C" w14:textId="77777777" w:rsidR="00C87588" w:rsidRPr="00AE639E" w:rsidRDefault="00C87588" w:rsidP="00C87588">
      <w:pPr>
        <w:spacing w:after="0" w:line="260" w:lineRule="atLeast"/>
        <w:jc w:val="both"/>
        <w:rPr>
          <w:rFonts w:ascii="Arial" w:eastAsia="Times New Roman" w:hAnsi="Arial"/>
          <w:sz w:val="20"/>
          <w:szCs w:val="24"/>
        </w:rPr>
      </w:pPr>
      <w:r w:rsidRPr="00AE639E">
        <w:rPr>
          <w:rFonts w:ascii="Arial" w:hAnsi="Arial" w:cs="Arial"/>
          <w:sz w:val="20"/>
          <w:szCs w:val="20"/>
        </w:rPr>
        <w:t xml:space="preserve">Služba vlade Republike Slovenije za razvoj in evropsko kohezijsko politiko je v vlogi organa upravljanja, v skladu s pristojnostmi, ki izhajajo iz 125. člena Uredbe EU 1303/2013, pripravila izhodišča za spremembo Operativnega programa za izvajanje evropske kohezijske politike </w:t>
      </w:r>
      <w:r>
        <w:rPr>
          <w:rFonts w:ascii="Arial" w:hAnsi="Arial" w:cs="Arial"/>
          <w:sz w:val="20"/>
          <w:szCs w:val="20"/>
        </w:rPr>
        <w:t>v</w:t>
      </w:r>
      <w:r w:rsidRPr="00AE639E">
        <w:rPr>
          <w:rFonts w:ascii="Arial" w:hAnsi="Arial" w:cs="Arial"/>
          <w:sz w:val="20"/>
          <w:szCs w:val="20"/>
        </w:rPr>
        <w:t xml:space="preserve"> obdobj</w:t>
      </w:r>
      <w:r>
        <w:rPr>
          <w:rFonts w:ascii="Arial" w:hAnsi="Arial" w:cs="Arial"/>
          <w:sz w:val="20"/>
          <w:szCs w:val="20"/>
        </w:rPr>
        <w:t>u</w:t>
      </w:r>
      <w:r w:rsidRPr="00AE639E">
        <w:rPr>
          <w:rFonts w:ascii="Arial" w:hAnsi="Arial" w:cs="Arial"/>
          <w:sz w:val="20"/>
          <w:szCs w:val="20"/>
        </w:rPr>
        <w:t xml:space="preserve"> 2014</w:t>
      </w:r>
      <w:r>
        <w:rPr>
          <w:rFonts w:ascii="Arial" w:hAnsi="Arial" w:cs="Arial"/>
          <w:sz w:val="20"/>
          <w:szCs w:val="20"/>
        </w:rPr>
        <w:t>–</w:t>
      </w:r>
      <w:r w:rsidRPr="00AE639E">
        <w:rPr>
          <w:rFonts w:ascii="Arial" w:hAnsi="Arial" w:cs="Arial"/>
          <w:sz w:val="20"/>
          <w:szCs w:val="20"/>
        </w:rPr>
        <w:t xml:space="preserve">2020 (v nadaljevanju: OP). V skladu s prvim odstavkom 30. člena Uredbe EU 1303/2013 lahko država članica predloži zahtevke za spremembo programov, ki jih ustrezno utemelji in v njih navede zlasti predvideni vpliv sprememb programa na doseganje ciljev iz strategije Unije za pametno, trajnostno in vključujočo rast ter posebnih ciljev iz programa, ob </w:t>
      </w:r>
      <w:r w:rsidRPr="00AE639E">
        <w:rPr>
          <w:rFonts w:ascii="Arial" w:eastAsia="Times New Roman" w:hAnsi="Arial"/>
          <w:sz w:val="20"/>
          <w:szCs w:val="24"/>
        </w:rPr>
        <w:t>upoštevanju te uredbe in pravil za posamezne sklade, horizontalnih</w:t>
      </w:r>
      <w:r>
        <w:rPr>
          <w:rFonts w:ascii="Arial" w:eastAsia="Times New Roman" w:hAnsi="Arial"/>
          <w:sz w:val="20"/>
          <w:szCs w:val="24"/>
        </w:rPr>
        <w:t xml:space="preserve"> načel iz členov 5, 7 in 8 ter P</w:t>
      </w:r>
      <w:r w:rsidRPr="00AE639E">
        <w:rPr>
          <w:rFonts w:ascii="Arial" w:eastAsia="Times New Roman" w:hAnsi="Arial"/>
          <w:sz w:val="20"/>
          <w:szCs w:val="24"/>
        </w:rPr>
        <w:t xml:space="preserve">artnerskega sporazuma. </w:t>
      </w:r>
    </w:p>
    <w:p w14:paraId="39A910E5" w14:textId="77777777" w:rsidR="00C87588" w:rsidRPr="00AE639E" w:rsidRDefault="00C87588" w:rsidP="00C87588">
      <w:pPr>
        <w:spacing w:after="0" w:line="260" w:lineRule="atLeast"/>
        <w:jc w:val="both"/>
        <w:rPr>
          <w:rFonts w:ascii="Arial" w:eastAsia="Times New Roman" w:hAnsi="Arial"/>
          <w:sz w:val="20"/>
          <w:szCs w:val="24"/>
        </w:rPr>
      </w:pPr>
    </w:p>
    <w:p w14:paraId="25F9FBC8" w14:textId="77777777" w:rsidR="00C87588" w:rsidRPr="00AE639E" w:rsidRDefault="00C87588" w:rsidP="00C87588">
      <w:pPr>
        <w:spacing w:after="0" w:line="260" w:lineRule="atLeast"/>
        <w:jc w:val="both"/>
        <w:rPr>
          <w:rFonts w:ascii="Arial" w:eastAsia="Times New Roman" w:hAnsi="Arial"/>
          <w:sz w:val="20"/>
          <w:szCs w:val="24"/>
        </w:rPr>
      </w:pPr>
      <w:r w:rsidRPr="00AE639E">
        <w:rPr>
          <w:rFonts w:ascii="Arial" w:eastAsia="Times New Roman" w:hAnsi="Arial"/>
          <w:sz w:val="20"/>
          <w:szCs w:val="24"/>
        </w:rPr>
        <w:t>Od pri</w:t>
      </w:r>
      <w:r>
        <w:rPr>
          <w:rFonts w:ascii="Arial" w:eastAsia="Times New Roman" w:hAnsi="Arial"/>
          <w:sz w:val="20"/>
          <w:szCs w:val="24"/>
        </w:rPr>
        <w:t>prave OP v letih 2013 in 2014</w:t>
      </w:r>
      <w:r w:rsidRPr="00AE639E">
        <w:rPr>
          <w:rFonts w:ascii="Arial" w:eastAsia="Times New Roman" w:hAnsi="Arial"/>
          <w:sz w:val="20"/>
          <w:szCs w:val="24"/>
        </w:rPr>
        <w:t xml:space="preserve"> se je Republika Slovenija soočala s </w:t>
      </w:r>
      <w:r>
        <w:rPr>
          <w:rFonts w:ascii="Arial" w:eastAsia="Times New Roman" w:hAnsi="Arial"/>
          <w:sz w:val="20"/>
          <w:szCs w:val="24"/>
        </w:rPr>
        <w:t xml:space="preserve">spremenjenimi okoliščinami. Spremenile (izboljšale) so se makroekonomske razmere, soočamo se z </w:t>
      </w:r>
      <w:r w:rsidRPr="00AE639E">
        <w:rPr>
          <w:rFonts w:ascii="Arial" w:eastAsia="Times New Roman" w:hAnsi="Arial"/>
          <w:sz w:val="20"/>
          <w:szCs w:val="24"/>
        </w:rPr>
        <w:t xml:space="preserve"> </w:t>
      </w:r>
      <w:r>
        <w:rPr>
          <w:rFonts w:ascii="Arial" w:eastAsia="Times New Roman" w:hAnsi="Arial"/>
          <w:sz w:val="20"/>
          <w:szCs w:val="24"/>
        </w:rPr>
        <w:t xml:space="preserve">zaostrenimi </w:t>
      </w:r>
      <w:r w:rsidRPr="00AE639E">
        <w:rPr>
          <w:rFonts w:ascii="Arial" w:eastAsia="Times New Roman" w:hAnsi="Arial"/>
          <w:sz w:val="20"/>
          <w:szCs w:val="24"/>
        </w:rPr>
        <w:t>okoljskimi in energetskimi vprašanji, migracijami, staranjem prebivalstva in demografskimi spremembami ter zahtevami po tehnološkem preoblikovanju in inovacijah. Zaradi naštetega in s ciljem</w:t>
      </w:r>
      <w:r>
        <w:rPr>
          <w:rFonts w:ascii="Arial" w:eastAsia="Times New Roman" w:hAnsi="Arial"/>
          <w:sz w:val="20"/>
          <w:szCs w:val="24"/>
        </w:rPr>
        <w:t xml:space="preserve"> </w:t>
      </w:r>
      <w:r w:rsidRPr="00AE639E">
        <w:rPr>
          <w:rFonts w:ascii="Arial" w:eastAsia="Times New Roman" w:hAnsi="Arial"/>
          <w:sz w:val="20"/>
          <w:szCs w:val="24"/>
        </w:rPr>
        <w:t>pove</w:t>
      </w:r>
      <w:r w:rsidRPr="00AE639E">
        <w:rPr>
          <w:rFonts w:ascii="Arial" w:eastAsia="Times New Roman" w:hAnsi="Arial" w:hint="eastAsia"/>
          <w:sz w:val="20"/>
          <w:szCs w:val="24"/>
        </w:rPr>
        <w:t>č</w:t>
      </w:r>
      <w:r w:rsidRPr="00AE639E">
        <w:rPr>
          <w:rFonts w:ascii="Arial" w:eastAsia="Times New Roman" w:hAnsi="Arial"/>
          <w:sz w:val="20"/>
          <w:szCs w:val="24"/>
        </w:rPr>
        <w:t>anja uspešnosti in u</w:t>
      </w:r>
      <w:r w:rsidRPr="00AE639E">
        <w:rPr>
          <w:rFonts w:ascii="Arial" w:eastAsia="Times New Roman" w:hAnsi="Arial" w:hint="eastAsia"/>
          <w:sz w:val="20"/>
          <w:szCs w:val="24"/>
        </w:rPr>
        <w:t>č</w:t>
      </w:r>
      <w:r w:rsidRPr="00AE639E">
        <w:rPr>
          <w:rFonts w:ascii="Arial" w:eastAsia="Times New Roman" w:hAnsi="Arial"/>
          <w:sz w:val="20"/>
          <w:szCs w:val="24"/>
        </w:rPr>
        <w:t>inkovitosti politik OP in sredstev, ki so na razpolago Republiki Sloveniji v obdobju 2014</w:t>
      </w:r>
      <w:r>
        <w:rPr>
          <w:rFonts w:ascii="Arial" w:eastAsia="Times New Roman" w:hAnsi="Arial"/>
          <w:sz w:val="20"/>
          <w:szCs w:val="24"/>
        </w:rPr>
        <w:t>–20120, se predlaga sprememba OP</w:t>
      </w:r>
      <w:r w:rsidRPr="00AE639E">
        <w:rPr>
          <w:rFonts w:ascii="Arial" w:eastAsia="Times New Roman" w:hAnsi="Arial"/>
          <w:sz w:val="20"/>
          <w:szCs w:val="24"/>
        </w:rPr>
        <w:t xml:space="preserve"> z vklju</w:t>
      </w:r>
      <w:r>
        <w:rPr>
          <w:rFonts w:ascii="Arial" w:eastAsia="Times New Roman" w:hAnsi="Arial"/>
          <w:sz w:val="20"/>
          <w:szCs w:val="24"/>
        </w:rPr>
        <w:t>čitvijo vsebin, ki bodo omogočale</w:t>
      </w:r>
      <w:r w:rsidRPr="00AE639E">
        <w:rPr>
          <w:rFonts w:ascii="Arial" w:eastAsia="Times New Roman" w:hAnsi="Arial"/>
          <w:sz w:val="20"/>
          <w:szCs w:val="24"/>
        </w:rPr>
        <w:t xml:space="preserve"> učinkovitejše odzive na izzive današnjega časa. Pri pr</w:t>
      </w:r>
      <w:r>
        <w:rPr>
          <w:rFonts w:ascii="Arial" w:eastAsia="Times New Roman" w:hAnsi="Arial"/>
          <w:sz w:val="20"/>
          <w:szCs w:val="24"/>
        </w:rPr>
        <w:t>edlaganih spremembah so bile</w:t>
      </w:r>
      <w:r w:rsidRPr="00AE639E">
        <w:rPr>
          <w:rFonts w:ascii="Arial" w:eastAsia="Times New Roman" w:hAnsi="Arial"/>
          <w:sz w:val="20"/>
          <w:szCs w:val="24"/>
        </w:rPr>
        <w:t xml:space="preserve"> upoštevane tudi specifične potrebe obeh kohezijskih regij. </w:t>
      </w:r>
    </w:p>
    <w:p w14:paraId="023CF24A" w14:textId="77777777" w:rsidR="00C87588" w:rsidRDefault="00C87588" w:rsidP="00C87588">
      <w:pPr>
        <w:spacing w:after="0"/>
        <w:jc w:val="both"/>
        <w:rPr>
          <w:rFonts w:ascii="Arial" w:hAnsi="Arial" w:cs="Arial"/>
          <w:sz w:val="20"/>
          <w:szCs w:val="20"/>
        </w:rPr>
      </w:pPr>
    </w:p>
    <w:p w14:paraId="7727B10F" w14:textId="77777777" w:rsidR="00C87588" w:rsidRPr="00AE639E" w:rsidRDefault="00C87588" w:rsidP="00C87588">
      <w:pPr>
        <w:jc w:val="both"/>
        <w:rPr>
          <w:rFonts w:ascii="Arial" w:hAnsi="Arial" w:cs="Arial"/>
          <w:sz w:val="20"/>
          <w:szCs w:val="20"/>
        </w:rPr>
      </w:pPr>
      <w:r w:rsidRPr="00AE639E">
        <w:rPr>
          <w:rFonts w:ascii="Arial" w:hAnsi="Arial" w:cs="Arial"/>
          <w:sz w:val="20"/>
          <w:szCs w:val="20"/>
        </w:rPr>
        <w:t xml:space="preserve">Spremembo OP narekujejo </w:t>
      </w:r>
      <w:r>
        <w:rPr>
          <w:rFonts w:ascii="Arial" w:hAnsi="Arial" w:cs="Arial"/>
          <w:sz w:val="20"/>
          <w:szCs w:val="20"/>
        </w:rPr>
        <w:t xml:space="preserve">predvsem naslednji </w:t>
      </w:r>
      <w:r w:rsidRPr="00AE639E">
        <w:rPr>
          <w:rFonts w:ascii="Arial" w:hAnsi="Arial" w:cs="Arial"/>
          <w:sz w:val="20"/>
          <w:szCs w:val="20"/>
        </w:rPr>
        <w:t>razlogi:</w:t>
      </w:r>
    </w:p>
    <w:p w14:paraId="48C084C9" w14:textId="77777777" w:rsidR="00C87588" w:rsidRPr="00F82515" w:rsidRDefault="00C87588" w:rsidP="00C87588">
      <w:pPr>
        <w:pStyle w:val="Odstavekseznama"/>
        <w:numPr>
          <w:ilvl w:val="0"/>
          <w:numId w:val="31"/>
        </w:numPr>
        <w:jc w:val="both"/>
        <w:rPr>
          <w:rFonts w:ascii="Arial" w:hAnsi="Arial" w:cs="Arial"/>
          <w:sz w:val="20"/>
          <w:szCs w:val="20"/>
        </w:rPr>
      </w:pPr>
      <w:r>
        <w:rPr>
          <w:rFonts w:ascii="Arial" w:hAnsi="Arial" w:cs="Arial"/>
          <w:sz w:val="20"/>
          <w:szCs w:val="20"/>
        </w:rPr>
        <w:t>t</w:t>
      </w:r>
      <w:r w:rsidRPr="00F82515">
        <w:rPr>
          <w:rFonts w:ascii="Arial" w:hAnsi="Arial" w:cs="Arial"/>
          <w:sz w:val="20"/>
          <w:szCs w:val="20"/>
        </w:rPr>
        <w:t xml:space="preserve">ehnična prilagoditev, s katero se skupna kohezijska ovojnica za Republiko Slovenijo </w:t>
      </w:r>
      <w:r>
        <w:rPr>
          <w:rFonts w:ascii="Arial" w:hAnsi="Arial" w:cs="Arial"/>
          <w:sz w:val="20"/>
          <w:szCs w:val="20"/>
        </w:rPr>
        <w:t xml:space="preserve">(pravice porabe) </w:t>
      </w:r>
      <w:r w:rsidRPr="00F82515">
        <w:rPr>
          <w:rFonts w:ascii="Arial" w:hAnsi="Arial" w:cs="Arial"/>
          <w:sz w:val="20"/>
          <w:szCs w:val="20"/>
        </w:rPr>
        <w:t>v obdobju od 2017 do 2020 zviša za 56.025.157 evrov</w:t>
      </w:r>
      <w:r>
        <w:rPr>
          <w:rFonts w:ascii="Arial" w:hAnsi="Arial" w:cs="Arial"/>
          <w:sz w:val="20"/>
          <w:szCs w:val="20"/>
        </w:rPr>
        <w:t>,</w:t>
      </w:r>
    </w:p>
    <w:p w14:paraId="1CB2F8D9" w14:textId="77777777" w:rsidR="00C87588" w:rsidRDefault="00C87588" w:rsidP="00C87588">
      <w:pPr>
        <w:pStyle w:val="Odstavekseznama"/>
        <w:numPr>
          <w:ilvl w:val="0"/>
          <w:numId w:val="31"/>
        </w:numPr>
        <w:jc w:val="both"/>
        <w:rPr>
          <w:rFonts w:ascii="Arial" w:hAnsi="Arial" w:cs="Arial"/>
          <w:sz w:val="20"/>
          <w:szCs w:val="20"/>
        </w:rPr>
      </w:pPr>
      <w:r>
        <w:rPr>
          <w:rFonts w:ascii="Arial" w:hAnsi="Arial" w:cs="Arial"/>
          <w:sz w:val="20"/>
          <w:szCs w:val="20"/>
        </w:rPr>
        <w:t>s</w:t>
      </w:r>
      <w:r w:rsidRPr="00F82515">
        <w:rPr>
          <w:rFonts w:ascii="Arial" w:hAnsi="Arial" w:cs="Arial"/>
          <w:sz w:val="20"/>
          <w:szCs w:val="20"/>
        </w:rPr>
        <w:t xml:space="preserve">premembe osnovnih predpostavk, </w:t>
      </w:r>
      <w:r>
        <w:rPr>
          <w:rFonts w:ascii="Arial" w:hAnsi="Arial" w:cs="Arial"/>
          <w:sz w:val="20"/>
          <w:szCs w:val="20"/>
        </w:rPr>
        <w:t xml:space="preserve">predvsem glede možnosti uporabe finančnih instrumentov, </w:t>
      </w:r>
      <w:r w:rsidRPr="00F82515">
        <w:rPr>
          <w:rFonts w:ascii="Arial" w:hAnsi="Arial" w:cs="Arial"/>
          <w:sz w:val="20"/>
          <w:szCs w:val="20"/>
        </w:rPr>
        <w:t xml:space="preserve">ki </w:t>
      </w:r>
      <w:r>
        <w:rPr>
          <w:rFonts w:ascii="Arial" w:hAnsi="Arial" w:cs="Arial"/>
          <w:sz w:val="20"/>
          <w:szCs w:val="20"/>
        </w:rPr>
        <w:t>so bile podlaga pri pripravi OP,</w:t>
      </w:r>
    </w:p>
    <w:p w14:paraId="190170E7" w14:textId="77777777" w:rsidR="00C87588" w:rsidRPr="007471E0" w:rsidRDefault="00C87588" w:rsidP="00C87588">
      <w:pPr>
        <w:pStyle w:val="Odstavekseznama"/>
        <w:numPr>
          <w:ilvl w:val="0"/>
          <w:numId w:val="31"/>
        </w:numPr>
        <w:jc w:val="both"/>
        <w:rPr>
          <w:rFonts w:ascii="Arial" w:hAnsi="Arial" w:cs="Arial"/>
          <w:sz w:val="20"/>
          <w:szCs w:val="20"/>
        </w:rPr>
      </w:pPr>
      <w:r>
        <w:rPr>
          <w:rFonts w:ascii="Arial" w:hAnsi="Arial" w:cs="Arial"/>
          <w:sz w:val="20"/>
          <w:szCs w:val="20"/>
        </w:rPr>
        <w:t>ustvarjanje pogojev za izvedbo nekaterih ključnih investicij.</w:t>
      </w:r>
    </w:p>
    <w:p w14:paraId="6755201D" w14:textId="77777777" w:rsidR="00C87588" w:rsidRPr="007471E0" w:rsidRDefault="00C87588" w:rsidP="00C87588">
      <w:pPr>
        <w:jc w:val="both"/>
        <w:rPr>
          <w:rFonts w:ascii="Arial" w:hAnsi="Arial" w:cs="Arial"/>
          <w:sz w:val="20"/>
          <w:szCs w:val="20"/>
        </w:rPr>
      </w:pPr>
      <w:r>
        <w:rPr>
          <w:rFonts w:ascii="Arial" w:hAnsi="Arial" w:cs="Arial"/>
          <w:sz w:val="20"/>
          <w:szCs w:val="20"/>
        </w:rPr>
        <w:t>Pri predlaganju sprememb je bilo upoštevano d</w:t>
      </w:r>
      <w:r w:rsidRPr="007471E0">
        <w:rPr>
          <w:rFonts w:ascii="Arial" w:hAnsi="Arial" w:cs="Arial"/>
          <w:sz w:val="20"/>
          <w:szCs w:val="20"/>
        </w:rPr>
        <w:t xml:space="preserve">oseganje mejnikov za okvir uspešnosti z namenom uspešnega črpanja 6 </w:t>
      </w:r>
      <w:r>
        <w:rPr>
          <w:rFonts w:ascii="Arial" w:hAnsi="Arial" w:cs="Arial"/>
          <w:sz w:val="20"/>
          <w:szCs w:val="20"/>
        </w:rPr>
        <w:t>% sredstev rezerve za uspešnost, upoštevane pa so bile zahteve, ki izhajajo iz pravila n+3.</w:t>
      </w:r>
    </w:p>
    <w:p w14:paraId="47BDDC57" w14:textId="65BE1037" w:rsidR="00C87588" w:rsidRPr="009A38AE" w:rsidRDefault="00C87588" w:rsidP="00C87588">
      <w:pPr>
        <w:jc w:val="both"/>
        <w:rPr>
          <w:rFonts w:ascii="Arial" w:hAnsi="Arial" w:cs="Arial"/>
          <w:sz w:val="20"/>
          <w:szCs w:val="20"/>
        </w:rPr>
      </w:pPr>
      <w:r>
        <w:rPr>
          <w:rFonts w:ascii="Arial" w:hAnsi="Arial" w:cs="Arial"/>
          <w:sz w:val="20"/>
          <w:szCs w:val="20"/>
        </w:rPr>
        <w:t xml:space="preserve">Gradivo predstavlja izhodišče za spremembo OP. Na osnovi tega predloga bo opravljeno podrobno usklajevanje s posredniškimi organi in </w:t>
      </w:r>
      <w:r>
        <w:rPr>
          <w:rFonts w:ascii="Arial" w:eastAsia="SimSun" w:hAnsi="Arial" w:cs="Arial"/>
          <w:color w:val="000000"/>
          <w:sz w:val="20"/>
          <w:szCs w:val="20"/>
          <w:lang w:eastAsia="zh-CN"/>
        </w:rPr>
        <w:t>R</w:t>
      </w:r>
      <w:r w:rsidRPr="003E7C55">
        <w:rPr>
          <w:rFonts w:ascii="Arial" w:eastAsia="SimSun" w:hAnsi="Arial" w:cs="Arial"/>
          <w:color w:val="000000"/>
          <w:sz w:val="20"/>
          <w:szCs w:val="20"/>
          <w:lang w:eastAsia="zh-CN"/>
        </w:rPr>
        <w:t>azvojni</w:t>
      </w:r>
      <w:r>
        <w:rPr>
          <w:rFonts w:ascii="Arial" w:eastAsia="SimSun" w:hAnsi="Arial" w:cs="Arial"/>
          <w:color w:val="000000"/>
          <w:sz w:val="20"/>
          <w:szCs w:val="20"/>
          <w:lang w:eastAsia="zh-CN"/>
        </w:rPr>
        <w:t>ma</w:t>
      </w:r>
      <w:r w:rsidRPr="003E7C55">
        <w:rPr>
          <w:rFonts w:ascii="Arial" w:eastAsia="SimSun" w:hAnsi="Arial" w:cs="Arial"/>
          <w:color w:val="000000"/>
          <w:sz w:val="20"/>
          <w:szCs w:val="20"/>
          <w:lang w:eastAsia="zh-CN"/>
        </w:rPr>
        <w:t xml:space="preserve"> sveto</w:t>
      </w:r>
      <w:r>
        <w:rPr>
          <w:rFonts w:ascii="Arial" w:eastAsia="SimSun" w:hAnsi="Arial" w:cs="Arial"/>
          <w:color w:val="000000"/>
          <w:sz w:val="20"/>
          <w:szCs w:val="20"/>
          <w:lang w:eastAsia="zh-CN"/>
        </w:rPr>
        <w:t>ma</w:t>
      </w:r>
      <w:r w:rsidRPr="003E7C55">
        <w:rPr>
          <w:rFonts w:ascii="Arial" w:eastAsia="SimSun" w:hAnsi="Arial" w:cs="Arial"/>
          <w:color w:val="000000"/>
          <w:sz w:val="20"/>
          <w:szCs w:val="20"/>
          <w:lang w:eastAsia="zh-CN"/>
        </w:rPr>
        <w:t xml:space="preserve"> kohezijskih regij</w:t>
      </w:r>
      <w:r>
        <w:rPr>
          <w:rFonts w:ascii="Arial" w:eastAsia="SimSun" w:hAnsi="Arial" w:cs="Arial"/>
          <w:color w:val="000000"/>
          <w:sz w:val="20"/>
          <w:szCs w:val="20"/>
          <w:lang w:eastAsia="zh-CN"/>
        </w:rPr>
        <w:t xml:space="preserve">, prav tako pa tudi tehnične prilagoditve v okviru posameznega sklada in med skladi. </w:t>
      </w:r>
    </w:p>
    <w:p w14:paraId="59BACD58" w14:textId="77777777" w:rsidR="00C87588" w:rsidRPr="00AE639E" w:rsidRDefault="00C87588" w:rsidP="00C87588">
      <w:pPr>
        <w:jc w:val="both"/>
        <w:rPr>
          <w:rFonts w:ascii="Arial" w:hAnsi="Arial" w:cs="Arial"/>
          <w:sz w:val="20"/>
          <w:szCs w:val="20"/>
        </w:rPr>
      </w:pPr>
      <w:r>
        <w:rPr>
          <w:rFonts w:ascii="Arial" w:hAnsi="Arial" w:cs="Arial"/>
          <w:sz w:val="20"/>
          <w:szCs w:val="20"/>
        </w:rPr>
        <w:t>V gradivu navedena sredstva oziroma vrednosti se nanašajo izključno na evropska sredstva, brez navajanja slovenskega dela sofinanciranja.</w:t>
      </w:r>
    </w:p>
    <w:p w14:paraId="25030272" w14:textId="77777777" w:rsidR="00C87588" w:rsidRPr="00AE639E" w:rsidRDefault="00C87588" w:rsidP="00C87588">
      <w:pPr>
        <w:numPr>
          <w:ilvl w:val="0"/>
          <w:numId w:val="11"/>
        </w:numPr>
        <w:spacing w:after="0" w:line="260" w:lineRule="atLeast"/>
        <w:ind w:hanging="720"/>
        <w:contextualSpacing/>
        <w:jc w:val="both"/>
        <w:rPr>
          <w:rFonts w:ascii="Arial" w:eastAsia="Times New Roman" w:hAnsi="Arial" w:cstheme="minorBidi"/>
          <w:b/>
          <w:sz w:val="20"/>
          <w:szCs w:val="24"/>
        </w:rPr>
      </w:pPr>
      <w:r w:rsidRPr="00AE639E">
        <w:rPr>
          <w:rFonts w:ascii="Arial" w:eastAsia="Times New Roman" w:hAnsi="Arial" w:cstheme="minorBidi"/>
          <w:b/>
          <w:sz w:val="20"/>
          <w:szCs w:val="24"/>
        </w:rPr>
        <w:lastRenderedPageBreak/>
        <w:t xml:space="preserve">Omejitve pri razporejanju </w:t>
      </w:r>
      <w:r>
        <w:rPr>
          <w:rFonts w:ascii="Arial" w:eastAsia="Times New Roman" w:hAnsi="Arial" w:cstheme="minorBidi"/>
          <w:b/>
          <w:sz w:val="20"/>
          <w:szCs w:val="24"/>
        </w:rPr>
        <w:t>pravic porabe</w:t>
      </w:r>
    </w:p>
    <w:p w14:paraId="7F819338" w14:textId="77777777" w:rsidR="00C87588" w:rsidRPr="00AE639E" w:rsidRDefault="00C87588" w:rsidP="00C87588">
      <w:pPr>
        <w:spacing w:after="0" w:line="260" w:lineRule="atLeast"/>
        <w:ind w:left="720"/>
        <w:contextualSpacing/>
        <w:jc w:val="both"/>
        <w:rPr>
          <w:rFonts w:ascii="Arial" w:eastAsia="Times New Roman" w:hAnsi="Arial" w:cstheme="minorBidi"/>
          <w:b/>
          <w:sz w:val="20"/>
          <w:szCs w:val="24"/>
        </w:rPr>
      </w:pPr>
    </w:p>
    <w:p w14:paraId="28F9DA4F" w14:textId="77777777" w:rsidR="00C87588" w:rsidRPr="00AE639E" w:rsidRDefault="00C87588" w:rsidP="00C87588">
      <w:pPr>
        <w:jc w:val="both"/>
        <w:rPr>
          <w:rFonts w:ascii="Arial" w:hAnsi="Arial" w:cs="Arial"/>
          <w:sz w:val="20"/>
          <w:szCs w:val="20"/>
        </w:rPr>
      </w:pPr>
      <w:r w:rsidRPr="00AE639E">
        <w:rPr>
          <w:rFonts w:ascii="Arial" w:hAnsi="Arial" w:cs="Arial"/>
          <w:sz w:val="20"/>
          <w:szCs w:val="20"/>
        </w:rPr>
        <w:t xml:space="preserve">V okviru razporejanja </w:t>
      </w:r>
      <w:r>
        <w:rPr>
          <w:rFonts w:ascii="Arial" w:hAnsi="Arial" w:cs="Arial"/>
          <w:sz w:val="20"/>
          <w:szCs w:val="20"/>
        </w:rPr>
        <w:t>pravic porabe</w:t>
      </w:r>
      <w:r w:rsidRPr="00AE639E">
        <w:rPr>
          <w:rFonts w:ascii="Arial" w:hAnsi="Arial" w:cs="Arial"/>
          <w:sz w:val="20"/>
          <w:szCs w:val="20"/>
        </w:rPr>
        <w:t xml:space="preserve"> znotraj OP je treba upoštevati pravila, ki jih je postavila EU glede razporejanja </w:t>
      </w:r>
      <w:r>
        <w:rPr>
          <w:rFonts w:ascii="Arial" w:hAnsi="Arial" w:cs="Arial"/>
          <w:sz w:val="20"/>
          <w:szCs w:val="20"/>
        </w:rPr>
        <w:t>pravic porabe</w:t>
      </w:r>
      <w:r w:rsidRPr="00AE639E">
        <w:rPr>
          <w:rFonts w:ascii="Arial" w:hAnsi="Arial" w:cs="Arial"/>
          <w:sz w:val="20"/>
          <w:szCs w:val="20"/>
        </w:rPr>
        <w:t xml:space="preserve"> evropske kohezijske politike in ki jih na kratko lahko strnemo v naslednje:</w:t>
      </w:r>
    </w:p>
    <w:p w14:paraId="1438D20F" w14:textId="77777777" w:rsidR="00C87588" w:rsidRPr="00AE639E" w:rsidRDefault="00C87588" w:rsidP="00C87588">
      <w:pPr>
        <w:numPr>
          <w:ilvl w:val="0"/>
          <w:numId w:val="7"/>
        </w:numPr>
        <w:jc w:val="both"/>
        <w:rPr>
          <w:rFonts w:ascii="Arial" w:hAnsi="Arial" w:cs="Arial"/>
          <w:sz w:val="20"/>
          <w:szCs w:val="20"/>
        </w:rPr>
      </w:pPr>
      <w:r>
        <w:rPr>
          <w:rFonts w:ascii="Arial" w:hAnsi="Arial" w:cs="Arial"/>
          <w:sz w:val="20"/>
          <w:szCs w:val="20"/>
        </w:rPr>
        <w:t>p</w:t>
      </w:r>
      <w:r w:rsidRPr="00AE639E">
        <w:rPr>
          <w:rFonts w:ascii="Arial" w:hAnsi="Arial" w:cs="Arial"/>
          <w:sz w:val="20"/>
          <w:szCs w:val="20"/>
        </w:rPr>
        <w:t xml:space="preserve">rerazporejanje </w:t>
      </w:r>
      <w:r>
        <w:rPr>
          <w:rFonts w:ascii="Arial" w:hAnsi="Arial" w:cs="Arial"/>
          <w:sz w:val="20"/>
          <w:szCs w:val="20"/>
        </w:rPr>
        <w:t>pravic porabe</w:t>
      </w:r>
      <w:r w:rsidRPr="00AE639E">
        <w:rPr>
          <w:rFonts w:ascii="Arial" w:hAnsi="Arial" w:cs="Arial"/>
          <w:sz w:val="20"/>
          <w:szCs w:val="20"/>
        </w:rPr>
        <w:t xml:space="preserve"> </w:t>
      </w:r>
      <w:r>
        <w:rPr>
          <w:rFonts w:ascii="Arial" w:hAnsi="Arial" w:cs="Arial"/>
          <w:sz w:val="20"/>
          <w:szCs w:val="20"/>
        </w:rPr>
        <w:t>Evropskega sklada za regionalni razvoj (</w:t>
      </w:r>
      <w:r w:rsidRPr="00AE639E">
        <w:rPr>
          <w:rFonts w:ascii="Arial" w:hAnsi="Arial" w:cs="Arial"/>
          <w:sz w:val="20"/>
          <w:szCs w:val="20"/>
        </w:rPr>
        <w:t>ESRR</w:t>
      </w:r>
      <w:r>
        <w:rPr>
          <w:rFonts w:ascii="Arial" w:hAnsi="Arial" w:cs="Arial"/>
          <w:sz w:val="20"/>
          <w:szCs w:val="20"/>
        </w:rPr>
        <w:t>)</w:t>
      </w:r>
      <w:r w:rsidRPr="00AE639E">
        <w:rPr>
          <w:rFonts w:ascii="Arial" w:hAnsi="Arial" w:cs="Arial"/>
          <w:sz w:val="20"/>
          <w:szCs w:val="20"/>
        </w:rPr>
        <w:t xml:space="preserve"> in </w:t>
      </w:r>
      <w:r>
        <w:rPr>
          <w:rFonts w:ascii="Arial" w:hAnsi="Arial" w:cs="Arial"/>
          <w:sz w:val="20"/>
          <w:szCs w:val="20"/>
        </w:rPr>
        <w:t>Evropskega socialnega sklada (</w:t>
      </w:r>
      <w:r w:rsidRPr="00AE639E">
        <w:rPr>
          <w:rFonts w:ascii="Arial" w:hAnsi="Arial" w:cs="Arial"/>
          <w:sz w:val="20"/>
          <w:szCs w:val="20"/>
        </w:rPr>
        <w:t>ESS</w:t>
      </w:r>
      <w:r>
        <w:rPr>
          <w:rFonts w:ascii="Arial" w:hAnsi="Arial" w:cs="Arial"/>
          <w:sz w:val="20"/>
          <w:szCs w:val="20"/>
        </w:rPr>
        <w:t>)</w:t>
      </w:r>
      <w:r w:rsidRPr="00AE639E">
        <w:rPr>
          <w:rFonts w:ascii="Arial" w:hAnsi="Arial" w:cs="Arial"/>
          <w:sz w:val="20"/>
          <w:szCs w:val="20"/>
        </w:rPr>
        <w:t xml:space="preserve"> med </w:t>
      </w:r>
      <w:r>
        <w:rPr>
          <w:rFonts w:ascii="Arial" w:hAnsi="Arial" w:cs="Arial"/>
          <w:sz w:val="20"/>
          <w:szCs w:val="20"/>
        </w:rPr>
        <w:t>kohezijskima regijama ni mogoče,</w:t>
      </w:r>
    </w:p>
    <w:p w14:paraId="62DF3641" w14:textId="77777777" w:rsidR="00C87588" w:rsidRPr="00A55D07" w:rsidRDefault="00C87588" w:rsidP="00C87588">
      <w:pPr>
        <w:numPr>
          <w:ilvl w:val="0"/>
          <w:numId w:val="7"/>
        </w:numPr>
        <w:jc w:val="both"/>
        <w:rPr>
          <w:rFonts w:ascii="Arial" w:hAnsi="Arial" w:cs="Arial"/>
          <w:i/>
          <w:sz w:val="20"/>
          <w:szCs w:val="20"/>
        </w:rPr>
      </w:pPr>
      <w:r>
        <w:rPr>
          <w:rFonts w:ascii="Arial" w:hAnsi="Arial" w:cs="Arial"/>
          <w:sz w:val="20"/>
          <w:szCs w:val="20"/>
        </w:rPr>
        <w:t>t</w:t>
      </w:r>
      <w:r w:rsidRPr="00AE639E">
        <w:rPr>
          <w:rFonts w:ascii="Arial" w:hAnsi="Arial" w:cs="Arial"/>
          <w:sz w:val="20"/>
          <w:szCs w:val="20"/>
        </w:rPr>
        <w:t>ematska osredotočenost</w:t>
      </w:r>
      <w:r>
        <w:rPr>
          <w:rFonts w:ascii="Arial" w:hAnsi="Arial" w:cs="Arial"/>
          <w:sz w:val="20"/>
          <w:szCs w:val="20"/>
        </w:rPr>
        <w:t xml:space="preserve"> </w:t>
      </w:r>
      <w:r w:rsidRPr="00AE639E">
        <w:rPr>
          <w:rFonts w:ascii="Arial" w:hAnsi="Arial" w:cs="Arial"/>
          <w:sz w:val="20"/>
          <w:szCs w:val="20"/>
        </w:rPr>
        <w:t>zahteva, da se v bolj razviti regiji</w:t>
      </w:r>
      <w:r>
        <w:rPr>
          <w:rFonts w:ascii="Arial" w:hAnsi="Arial" w:cs="Arial"/>
          <w:sz w:val="20"/>
          <w:szCs w:val="20"/>
        </w:rPr>
        <w:t xml:space="preserve"> (Zahodna Slovenija) najmanj 80 </w:t>
      </w:r>
      <w:r w:rsidRPr="00AE639E">
        <w:rPr>
          <w:rFonts w:ascii="Arial" w:hAnsi="Arial" w:cs="Arial"/>
          <w:sz w:val="20"/>
          <w:szCs w:val="20"/>
        </w:rPr>
        <w:t xml:space="preserve">% vseh </w:t>
      </w:r>
      <w:r>
        <w:rPr>
          <w:rFonts w:ascii="Arial" w:hAnsi="Arial" w:cs="Arial"/>
          <w:sz w:val="20"/>
          <w:szCs w:val="20"/>
        </w:rPr>
        <w:t>pravic porabe</w:t>
      </w:r>
      <w:r w:rsidRPr="00AE639E">
        <w:rPr>
          <w:rFonts w:ascii="Arial" w:hAnsi="Arial" w:cs="Arial"/>
          <w:sz w:val="20"/>
          <w:szCs w:val="20"/>
        </w:rPr>
        <w:t xml:space="preserve"> ESRR, v manj razviti regiji (V</w:t>
      </w:r>
      <w:r>
        <w:rPr>
          <w:rFonts w:ascii="Arial" w:hAnsi="Arial" w:cs="Arial"/>
          <w:sz w:val="20"/>
          <w:szCs w:val="20"/>
        </w:rPr>
        <w:t xml:space="preserve">zhodna Slovenija) pa najmanj 50 </w:t>
      </w:r>
      <w:r w:rsidRPr="00AE639E">
        <w:rPr>
          <w:rFonts w:ascii="Arial" w:hAnsi="Arial" w:cs="Arial"/>
          <w:sz w:val="20"/>
          <w:szCs w:val="20"/>
        </w:rPr>
        <w:t xml:space="preserve">% vseh </w:t>
      </w:r>
      <w:r>
        <w:rPr>
          <w:rFonts w:ascii="Arial" w:hAnsi="Arial" w:cs="Arial"/>
          <w:sz w:val="20"/>
          <w:szCs w:val="20"/>
        </w:rPr>
        <w:t>pravic porabe</w:t>
      </w:r>
      <w:r w:rsidRPr="003F39F0">
        <w:rPr>
          <w:rFonts w:ascii="Arial" w:hAnsi="Arial" w:cs="Arial"/>
          <w:sz w:val="20"/>
          <w:szCs w:val="20"/>
        </w:rPr>
        <w:t xml:space="preserve"> ESRR nameni</w:t>
      </w:r>
      <w:r>
        <w:rPr>
          <w:rFonts w:ascii="Arial" w:hAnsi="Arial" w:cs="Arial"/>
          <w:sz w:val="20"/>
          <w:szCs w:val="20"/>
        </w:rPr>
        <w:t xml:space="preserve"> dvema ali več prednostnim osem v okviru prednostnih osi: 1 – </w:t>
      </w:r>
      <w:r w:rsidRPr="00A55D07">
        <w:rPr>
          <w:rFonts w:ascii="Arial" w:hAnsi="Arial" w:cs="Arial"/>
          <w:i/>
          <w:sz w:val="20"/>
          <w:szCs w:val="20"/>
        </w:rPr>
        <w:t>Mednarodna konkurenčnost raziskav</w:t>
      </w:r>
      <w:r>
        <w:rPr>
          <w:rFonts w:ascii="Arial" w:hAnsi="Arial" w:cs="Arial"/>
          <w:sz w:val="20"/>
          <w:szCs w:val="20"/>
        </w:rPr>
        <w:t xml:space="preserve">, 2 – </w:t>
      </w:r>
      <w:r w:rsidRPr="00A55D07">
        <w:rPr>
          <w:rFonts w:ascii="Arial" w:hAnsi="Arial" w:cs="Arial"/>
          <w:i/>
          <w:sz w:val="20"/>
          <w:szCs w:val="20"/>
        </w:rPr>
        <w:t>Povečanje dostopnosti do IKT</w:t>
      </w:r>
      <w:r>
        <w:rPr>
          <w:rFonts w:ascii="Arial" w:hAnsi="Arial" w:cs="Arial"/>
          <w:sz w:val="20"/>
          <w:szCs w:val="20"/>
        </w:rPr>
        <w:t xml:space="preserve">, 3 – </w:t>
      </w:r>
      <w:r w:rsidRPr="00A55D07">
        <w:rPr>
          <w:rFonts w:ascii="Arial" w:hAnsi="Arial" w:cs="Arial"/>
          <w:i/>
          <w:sz w:val="20"/>
          <w:szCs w:val="20"/>
        </w:rPr>
        <w:t>Dinamično in konkurenčno podjetništvo</w:t>
      </w:r>
      <w:r>
        <w:rPr>
          <w:rFonts w:ascii="Arial" w:hAnsi="Arial" w:cs="Arial"/>
          <w:sz w:val="20"/>
          <w:szCs w:val="20"/>
        </w:rPr>
        <w:t xml:space="preserve"> in</w:t>
      </w:r>
      <w:r w:rsidRPr="003F39F0">
        <w:rPr>
          <w:rFonts w:ascii="Arial" w:hAnsi="Arial" w:cs="Arial"/>
          <w:sz w:val="20"/>
          <w:szCs w:val="20"/>
        </w:rPr>
        <w:t xml:space="preserve"> 4</w:t>
      </w:r>
      <w:r>
        <w:rPr>
          <w:rFonts w:ascii="Arial" w:hAnsi="Arial" w:cs="Arial"/>
          <w:sz w:val="20"/>
          <w:szCs w:val="20"/>
        </w:rPr>
        <w:t xml:space="preserve"> – </w:t>
      </w:r>
      <w:r w:rsidRPr="00A55D07">
        <w:rPr>
          <w:rFonts w:ascii="Arial" w:hAnsi="Arial" w:cs="Arial"/>
          <w:i/>
          <w:sz w:val="20"/>
          <w:szCs w:val="20"/>
        </w:rPr>
        <w:t>Trajnostna raba in proizvodnja energije ter pametna omrežja,</w:t>
      </w:r>
      <w:r w:rsidRPr="00A55D07">
        <w:rPr>
          <w:rFonts w:ascii="Arial" w:hAnsi="Arial" w:cs="Arial"/>
          <w:i/>
          <w:sz w:val="20"/>
          <w:szCs w:val="20"/>
          <w:vertAlign w:val="superscript"/>
        </w:rPr>
        <w:footnoteReference w:id="2"/>
      </w:r>
    </w:p>
    <w:p w14:paraId="28314D48" w14:textId="77777777" w:rsidR="00C87588" w:rsidRDefault="00C87588" w:rsidP="00C87588">
      <w:pPr>
        <w:numPr>
          <w:ilvl w:val="0"/>
          <w:numId w:val="7"/>
        </w:numPr>
        <w:jc w:val="both"/>
        <w:rPr>
          <w:rFonts w:ascii="Arial" w:hAnsi="Arial" w:cs="Arial"/>
          <w:sz w:val="20"/>
          <w:szCs w:val="20"/>
        </w:rPr>
      </w:pPr>
      <w:r>
        <w:rPr>
          <w:rFonts w:ascii="Arial" w:hAnsi="Arial" w:cs="Arial"/>
          <w:sz w:val="20"/>
          <w:szCs w:val="20"/>
        </w:rPr>
        <w:t>z</w:t>
      </w:r>
      <w:r w:rsidRPr="003F39F0">
        <w:rPr>
          <w:rFonts w:ascii="Arial" w:hAnsi="Arial" w:cs="Arial"/>
          <w:sz w:val="20"/>
          <w:szCs w:val="20"/>
        </w:rPr>
        <w:t>a področje podnebni</w:t>
      </w:r>
      <w:r>
        <w:rPr>
          <w:rFonts w:ascii="Arial" w:hAnsi="Arial" w:cs="Arial"/>
          <w:sz w:val="20"/>
          <w:szCs w:val="20"/>
        </w:rPr>
        <w:t xml:space="preserve">h sprememb se nameni najmanj 20 </w:t>
      </w:r>
      <w:r w:rsidRPr="003F39F0">
        <w:rPr>
          <w:rFonts w:ascii="Arial" w:hAnsi="Arial" w:cs="Arial"/>
          <w:sz w:val="20"/>
          <w:szCs w:val="20"/>
        </w:rPr>
        <w:t xml:space="preserve">% </w:t>
      </w:r>
      <w:r>
        <w:rPr>
          <w:rFonts w:ascii="Arial" w:hAnsi="Arial" w:cs="Arial"/>
          <w:sz w:val="20"/>
          <w:szCs w:val="20"/>
        </w:rPr>
        <w:t>pravic porabe</w:t>
      </w:r>
      <w:r w:rsidRPr="003F39F0">
        <w:rPr>
          <w:rFonts w:ascii="Arial" w:hAnsi="Arial" w:cs="Arial"/>
          <w:sz w:val="20"/>
          <w:szCs w:val="20"/>
        </w:rPr>
        <w:t>, z upoštevanjem prispevka, kot je za posamezno kodo in</w:t>
      </w:r>
      <w:r>
        <w:rPr>
          <w:rFonts w:ascii="Arial" w:hAnsi="Arial" w:cs="Arial"/>
          <w:sz w:val="20"/>
          <w:szCs w:val="20"/>
        </w:rPr>
        <w:t>tervencij predpisan s strani EU.</w:t>
      </w:r>
    </w:p>
    <w:p w14:paraId="066E8BB1" w14:textId="77777777" w:rsidR="00C87588" w:rsidRPr="003F39F0" w:rsidRDefault="00C87588" w:rsidP="00C87588">
      <w:pPr>
        <w:ind w:left="360"/>
        <w:jc w:val="both"/>
        <w:rPr>
          <w:rFonts w:ascii="Arial" w:hAnsi="Arial" w:cs="Arial"/>
          <w:sz w:val="20"/>
          <w:szCs w:val="20"/>
        </w:rPr>
      </w:pPr>
    </w:p>
    <w:p w14:paraId="59F1B22E" w14:textId="77777777" w:rsidR="00C87588" w:rsidRPr="00AE639E" w:rsidRDefault="00C87588" w:rsidP="00C87588">
      <w:pPr>
        <w:numPr>
          <w:ilvl w:val="0"/>
          <w:numId w:val="11"/>
        </w:numPr>
        <w:spacing w:after="0" w:line="260" w:lineRule="atLeast"/>
        <w:ind w:hanging="720"/>
        <w:contextualSpacing/>
        <w:jc w:val="both"/>
        <w:rPr>
          <w:rFonts w:ascii="Arial" w:eastAsia="Times New Roman" w:hAnsi="Arial" w:cstheme="minorBidi"/>
          <w:b/>
          <w:sz w:val="20"/>
          <w:szCs w:val="24"/>
        </w:rPr>
      </w:pPr>
      <w:r w:rsidRPr="00AE639E">
        <w:rPr>
          <w:rFonts w:ascii="Arial" w:eastAsia="Times New Roman" w:hAnsi="Arial" w:cstheme="minorBidi"/>
          <w:b/>
          <w:sz w:val="20"/>
          <w:szCs w:val="24"/>
        </w:rPr>
        <w:t>Tehnična prilagoditev</w:t>
      </w:r>
    </w:p>
    <w:p w14:paraId="284D8759" w14:textId="77777777" w:rsidR="00C87588" w:rsidRPr="00AE639E" w:rsidRDefault="00C87588" w:rsidP="00C87588">
      <w:pPr>
        <w:ind w:left="720"/>
        <w:contextualSpacing/>
        <w:jc w:val="both"/>
        <w:rPr>
          <w:rFonts w:ascii="Arial" w:eastAsiaTheme="minorHAnsi" w:hAnsi="Arial" w:cs="Arial"/>
          <w:sz w:val="20"/>
          <w:szCs w:val="20"/>
        </w:rPr>
      </w:pPr>
    </w:p>
    <w:p w14:paraId="414E25BE" w14:textId="640A6A38" w:rsidR="00C87588" w:rsidRPr="00AE639E" w:rsidRDefault="00C87588" w:rsidP="00C87588">
      <w:pPr>
        <w:jc w:val="both"/>
        <w:rPr>
          <w:rFonts w:ascii="Arial" w:hAnsi="Arial" w:cs="Arial"/>
          <w:sz w:val="20"/>
          <w:szCs w:val="20"/>
        </w:rPr>
      </w:pPr>
      <w:r w:rsidRPr="00AE639E">
        <w:rPr>
          <w:rFonts w:ascii="Arial" w:hAnsi="Arial" w:cs="Arial"/>
          <w:sz w:val="20"/>
          <w:szCs w:val="20"/>
        </w:rPr>
        <w:t>V skladu s 7. členom Uredbe EU št. 1311/2013 je</w:t>
      </w:r>
      <w:r>
        <w:rPr>
          <w:rFonts w:ascii="Arial" w:hAnsi="Arial" w:cs="Arial"/>
          <w:sz w:val="20"/>
          <w:szCs w:val="20"/>
        </w:rPr>
        <w:t xml:space="preserve"> EK</w:t>
      </w:r>
      <w:r w:rsidRPr="00AE639E">
        <w:rPr>
          <w:rFonts w:ascii="Arial" w:hAnsi="Arial" w:cs="Arial"/>
          <w:sz w:val="20"/>
          <w:szCs w:val="20"/>
        </w:rPr>
        <w:t xml:space="preserve"> pregledala skupna dodeljena sredstva za vse države članice v okv</w:t>
      </w:r>
      <w:r>
        <w:rPr>
          <w:rFonts w:ascii="Arial" w:hAnsi="Arial" w:cs="Arial"/>
          <w:sz w:val="20"/>
          <w:szCs w:val="20"/>
        </w:rPr>
        <w:t>iru cilja kohezijske politike N</w:t>
      </w:r>
      <w:r w:rsidRPr="00AE639E">
        <w:rPr>
          <w:rFonts w:ascii="Arial" w:hAnsi="Arial" w:cs="Arial"/>
          <w:sz w:val="20"/>
          <w:szCs w:val="20"/>
        </w:rPr>
        <w:t>aložbe za rast in delovna mesta, pri čemer je uporabila metodo dodelitve, določeno v ustreznem temeljnem aktu, in sicer na podlagi najnovejših razpoložljivih statističnih podatkov in primerjave kumulativnega nacionalnega BDP, izmerjenega za leti 2014 in 2015, ter ocene kumulativnega nacionalnega BDP za leto 2012 v državah članicah, za katere velja zgornja meja dodeljenih kohezijskih sredstev. Dodeljena sredstva se prilagodijo, kadar je kumulativno neskladje večje od+</w:t>
      </w:r>
      <w:r>
        <w:rPr>
          <w:rFonts w:ascii="Arial" w:hAnsi="Arial" w:cs="Arial"/>
          <w:sz w:val="20"/>
          <w:szCs w:val="20"/>
        </w:rPr>
        <w:t xml:space="preserve"> </w:t>
      </w:r>
      <w:r w:rsidRPr="00AE639E">
        <w:rPr>
          <w:rFonts w:ascii="Arial" w:hAnsi="Arial" w:cs="Arial"/>
          <w:sz w:val="20"/>
          <w:szCs w:val="20"/>
        </w:rPr>
        <w:t>/</w:t>
      </w:r>
      <w:r>
        <w:rPr>
          <w:rFonts w:ascii="Arial" w:hAnsi="Arial" w:cs="Arial"/>
          <w:sz w:val="20"/>
          <w:szCs w:val="20"/>
        </w:rPr>
        <w:t xml:space="preserve"> </w:t>
      </w:r>
      <w:r w:rsidRPr="00AE639E">
        <w:rPr>
          <w:rFonts w:ascii="Arial" w:hAnsi="Arial" w:cs="Arial"/>
          <w:sz w:val="20"/>
          <w:szCs w:val="20"/>
        </w:rPr>
        <w:t>– 5 %. Za kazalnike v zvezi z nacionalnimi in regionalnimi računi (BDP, BND in prebivalstvo) statistični podatki, uporabljeni za pregled sredstev kohezijske politike</w:t>
      </w:r>
      <w:r>
        <w:rPr>
          <w:rFonts w:ascii="Arial" w:hAnsi="Arial" w:cs="Arial"/>
          <w:sz w:val="20"/>
          <w:szCs w:val="20"/>
        </w:rPr>
        <w:t>,</w:t>
      </w:r>
      <w:r w:rsidRPr="00AE639E">
        <w:rPr>
          <w:rFonts w:ascii="Arial" w:hAnsi="Arial" w:cs="Arial"/>
          <w:sz w:val="20"/>
          <w:szCs w:val="20"/>
        </w:rPr>
        <w:t xml:space="preserve"> zajemajo leta 2012, 2013 in 2014. Za kazalnike v zvezi s trgom dela in izobrazbeno ravnjo uporabljeni statistični podatki zajemajo leta 2013, 2014 in 2015.</w:t>
      </w:r>
    </w:p>
    <w:p w14:paraId="6E0ABDA4" w14:textId="77777777" w:rsidR="00C87588" w:rsidRPr="00AE639E" w:rsidRDefault="00C87588" w:rsidP="00C87588">
      <w:pPr>
        <w:jc w:val="both"/>
        <w:rPr>
          <w:rFonts w:ascii="Arial" w:hAnsi="Arial" w:cs="Arial"/>
          <w:sz w:val="20"/>
          <w:szCs w:val="20"/>
        </w:rPr>
      </w:pPr>
      <w:r w:rsidRPr="00AE639E">
        <w:rPr>
          <w:rFonts w:ascii="Arial" w:hAnsi="Arial" w:cs="Arial"/>
          <w:sz w:val="20"/>
          <w:szCs w:val="20"/>
        </w:rPr>
        <w:t>Tehnična prilagoditev za Republiko Slovenijo konkretno pomeni, da je sku</w:t>
      </w:r>
      <w:r>
        <w:rPr>
          <w:rFonts w:ascii="Arial" w:hAnsi="Arial" w:cs="Arial"/>
          <w:sz w:val="20"/>
          <w:szCs w:val="20"/>
        </w:rPr>
        <w:t xml:space="preserve">pna finančna dodelitev za cilj </w:t>
      </w:r>
      <w:r w:rsidRPr="00AE639E">
        <w:rPr>
          <w:rFonts w:ascii="Arial" w:hAnsi="Arial" w:cs="Arial"/>
          <w:sz w:val="20"/>
          <w:szCs w:val="20"/>
        </w:rPr>
        <w:t xml:space="preserve">Naložbe v rast in delovna mesta oziroma, da je skupna kohezijska ovojnica za Slovenijo v obdobju od 2017 do 2020 višja za 56.025.157 </w:t>
      </w:r>
      <w:r>
        <w:rPr>
          <w:rFonts w:ascii="Arial" w:hAnsi="Arial" w:cs="Arial"/>
          <w:sz w:val="20"/>
          <w:szCs w:val="20"/>
        </w:rPr>
        <w:t>evrov</w:t>
      </w:r>
      <w:r w:rsidRPr="00AE639E">
        <w:rPr>
          <w:rFonts w:ascii="Arial" w:hAnsi="Arial" w:cs="Arial"/>
          <w:sz w:val="20"/>
          <w:szCs w:val="20"/>
        </w:rPr>
        <w:t xml:space="preserve"> (tekoče cene)</w:t>
      </w:r>
      <w:r>
        <w:rPr>
          <w:rFonts w:ascii="Arial" w:hAnsi="Arial" w:cs="Arial"/>
          <w:sz w:val="20"/>
          <w:szCs w:val="20"/>
        </w:rPr>
        <w:t xml:space="preserve">, kar </w:t>
      </w:r>
      <w:r w:rsidRPr="00AE639E">
        <w:rPr>
          <w:rFonts w:ascii="Arial" w:hAnsi="Arial" w:cs="Arial"/>
          <w:sz w:val="20"/>
          <w:szCs w:val="20"/>
        </w:rPr>
        <w:t>vključuje ESRR, ESS in KS.</w:t>
      </w:r>
    </w:p>
    <w:p w14:paraId="2D1A31B1" w14:textId="77777777" w:rsidR="00C87588" w:rsidRDefault="00C87588" w:rsidP="00C87588">
      <w:pPr>
        <w:jc w:val="both"/>
        <w:rPr>
          <w:rFonts w:ascii="Arial" w:hAnsi="Arial" w:cs="Arial"/>
          <w:sz w:val="20"/>
          <w:szCs w:val="20"/>
        </w:rPr>
      </w:pPr>
      <w:r w:rsidRPr="00AE639E">
        <w:rPr>
          <w:rFonts w:ascii="Arial" w:hAnsi="Arial" w:cs="Arial"/>
          <w:sz w:val="20"/>
          <w:szCs w:val="20"/>
        </w:rPr>
        <w:t xml:space="preserve">Dodatna finančna sredstva skupne kohezijske ovojnice je potrebno skladno z usmeritvami EK razdeliti v skladu z že sprejetimi strateškimi usmeritvami in priporočili (vključujoč pogojenost v zvezi s zagotavljanjem obsega sredstev za področje podnebnih sprememb in tematske osredotočenosti). </w:t>
      </w:r>
    </w:p>
    <w:p w14:paraId="60F1298B" w14:textId="77777777" w:rsidR="00C87588" w:rsidRDefault="00C87588" w:rsidP="00C87588">
      <w:pPr>
        <w:jc w:val="both"/>
        <w:rPr>
          <w:rFonts w:ascii="Arial" w:eastAsia="Times New Roman" w:hAnsi="Arial"/>
          <w:sz w:val="20"/>
          <w:szCs w:val="24"/>
        </w:rPr>
      </w:pPr>
      <w:r>
        <w:rPr>
          <w:rFonts w:ascii="Arial" w:eastAsia="Times New Roman" w:hAnsi="Arial"/>
          <w:sz w:val="20"/>
          <w:szCs w:val="24"/>
        </w:rPr>
        <w:t>EK je za porabo sredstev iz naslova tehničnega popravka priporočala, da se sredstva tehnične prilagoditve porabijo za ukrepe na področjih:</w:t>
      </w:r>
    </w:p>
    <w:p w14:paraId="1ED395F6" w14:textId="77777777" w:rsidR="00C87588" w:rsidRDefault="00C87588" w:rsidP="00C87588">
      <w:pPr>
        <w:pStyle w:val="Odstavekseznama"/>
        <w:numPr>
          <w:ilvl w:val="0"/>
          <w:numId w:val="6"/>
        </w:numPr>
        <w:jc w:val="both"/>
        <w:rPr>
          <w:rFonts w:ascii="Arial" w:eastAsia="Times New Roman" w:hAnsi="Arial"/>
          <w:sz w:val="20"/>
          <w:szCs w:val="24"/>
        </w:rPr>
      </w:pPr>
      <w:r w:rsidRPr="00CC4D2B">
        <w:rPr>
          <w:rFonts w:ascii="Arial" w:eastAsia="Times New Roman" w:hAnsi="Arial"/>
          <w:sz w:val="20"/>
          <w:szCs w:val="24"/>
        </w:rPr>
        <w:lastRenderedPageBreak/>
        <w:t>brezposeln</w:t>
      </w:r>
      <w:r>
        <w:rPr>
          <w:rFonts w:ascii="Arial" w:eastAsia="Times New Roman" w:hAnsi="Arial"/>
          <w:sz w:val="20"/>
          <w:szCs w:val="24"/>
        </w:rPr>
        <w:t xml:space="preserve">osti </w:t>
      </w:r>
      <w:r w:rsidRPr="00CC4D2B">
        <w:rPr>
          <w:rFonts w:ascii="Arial" w:eastAsia="Times New Roman" w:hAnsi="Arial"/>
          <w:sz w:val="20"/>
          <w:szCs w:val="24"/>
        </w:rPr>
        <w:t xml:space="preserve">mladih, </w:t>
      </w:r>
    </w:p>
    <w:p w14:paraId="362CB763" w14:textId="77777777" w:rsidR="00C87588" w:rsidRDefault="00C87588" w:rsidP="00C87588">
      <w:pPr>
        <w:pStyle w:val="Odstavekseznama"/>
        <w:numPr>
          <w:ilvl w:val="0"/>
          <w:numId w:val="6"/>
        </w:numPr>
        <w:jc w:val="both"/>
        <w:rPr>
          <w:rFonts w:ascii="Arial" w:eastAsia="Times New Roman" w:hAnsi="Arial"/>
          <w:sz w:val="20"/>
          <w:szCs w:val="24"/>
        </w:rPr>
      </w:pPr>
      <w:r w:rsidRPr="00CC4D2B">
        <w:rPr>
          <w:rFonts w:ascii="Arial" w:eastAsia="Times New Roman" w:hAnsi="Arial"/>
          <w:sz w:val="20"/>
          <w:szCs w:val="24"/>
        </w:rPr>
        <w:t xml:space="preserve">migracij in </w:t>
      </w:r>
    </w:p>
    <w:p w14:paraId="6C843391" w14:textId="77777777" w:rsidR="00C87588" w:rsidRDefault="00C87588" w:rsidP="00C87588">
      <w:pPr>
        <w:pStyle w:val="Odstavekseznama"/>
        <w:numPr>
          <w:ilvl w:val="0"/>
          <w:numId w:val="6"/>
        </w:numPr>
        <w:jc w:val="both"/>
        <w:rPr>
          <w:rFonts w:ascii="Arial" w:eastAsia="Times New Roman" w:hAnsi="Arial"/>
          <w:sz w:val="20"/>
          <w:szCs w:val="24"/>
        </w:rPr>
      </w:pPr>
      <w:r w:rsidRPr="00CC4D2B">
        <w:rPr>
          <w:rFonts w:ascii="Arial" w:eastAsia="Times New Roman" w:hAnsi="Arial"/>
          <w:sz w:val="20"/>
          <w:szCs w:val="24"/>
        </w:rPr>
        <w:t>finančn</w:t>
      </w:r>
      <w:r>
        <w:rPr>
          <w:rFonts w:ascii="Arial" w:eastAsia="Times New Roman" w:hAnsi="Arial"/>
          <w:sz w:val="20"/>
          <w:szCs w:val="24"/>
        </w:rPr>
        <w:t>ih instrumentov</w:t>
      </w:r>
      <w:r w:rsidRPr="00CC4D2B">
        <w:rPr>
          <w:rFonts w:ascii="Arial" w:eastAsia="Times New Roman" w:hAnsi="Arial"/>
          <w:sz w:val="20"/>
          <w:szCs w:val="24"/>
        </w:rPr>
        <w:t xml:space="preserve">. </w:t>
      </w:r>
    </w:p>
    <w:p w14:paraId="26BB4361" w14:textId="77777777" w:rsidR="00C87588" w:rsidRDefault="00C87588" w:rsidP="00C87588">
      <w:pPr>
        <w:pStyle w:val="Odstavekseznama"/>
        <w:ind w:left="360"/>
        <w:jc w:val="both"/>
        <w:rPr>
          <w:rFonts w:ascii="Arial" w:eastAsia="Times New Roman" w:hAnsi="Arial"/>
          <w:sz w:val="20"/>
          <w:szCs w:val="24"/>
        </w:rPr>
      </w:pPr>
    </w:p>
    <w:p w14:paraId="7914A3E5" w14:textId="77777777" w:rsidR="00C87588" w:rsidRDefault="00C87588" w:rsidP="00C87588">
      <w:pPr>
        <w:jc w:val="both"/>
        <w:rPr>
          <w:rFonts w:ascii="Arial" w:hAnsi="Arial" w:cs="Arial"/>
          <w:sz w:val="20"/>
          <w:szCs w:val="20"/>
        </w:rPr>
      </w:pPr>
      <w:r w:rsidRPr="00CC4D2B">
        <w:rPr>
          <w:rFonts w:ascii="Arial" w:eastAsia="Times New Roman" w:hAnsi="Arial"/>
          <w:sz w:val="20"/>
          <w:szCs w:val="24"/>
        </w:rPr>
        <w:t>Glede stanj</w:t>
      </w:r>
      <w:r>
        <w:rPr>
          <w:rFonts w:ascii="Arial" w:eastAsia="Times New Roman" w:hAnsi="Arial"/>
          <w:sz w:val="20"/>
          <w:szCs w:val="24"/>
        </w:rPr>
        <w:t>a</w:t>
      </w:r>
      <w:r w:rsidRPr="00CC4D2B">
        <w:rPr>
          <w:rFonts w:ascii="Arial" w:eastAsia="Times New Roman" w:hAnsi="Arial"/>
          <w:sz w:val="20"/>
          <w:szCs w:val="24"/>
        </w:rPr>
        <w:t xml:space="preserve"> na teh področj</w:t>
      </w:r>
      <w:r>
        <w:rPr>
          <w:rFonts w:ascii="Arial" w:eastAsia="Times New Roman" w:hAnsi="Arial"/>
          <w:sz w:val="20"/>
          <w:szCs w:val="24"/>
        </w:rPr>
        <w:t>ih</w:t>
      </w:r>
      <w:r w:rsidRPr="00CC4D2B">
        <w:rPr>
          <w:rFonts w:ascii="Arial" w:eastAsia="Times New Roman" w:hAnsi="Arial"/>
          <w:sz w:val="20"/>
          <w:szCs w:val="24"/>
        </w:rPr>
        <w:t xml:space="preserve"> v Republiki Sloveniji </w:t>
      </w:r>
      <w:r>
        <w:rPr>
          <w:rFonts w:ascii="Arial" w:eastAsia="Times New Roman" w:hAnsi="Arial"/>
          <w:sz w:val="20"/>
          <w:szCs w:val="24"/>
        </w:rPr>
        <w:t>ugotavljamo</w:t>
      </w:r>
      <w:r w:rsidRPr="00CC4D2B">
        <w:rPr>
          <w:rFonts w:ascii="Arial" w:eastAsia="Times New Roman" w:hAnsi="Arial"/>
          <w:sz w:val="20"/>
          <w:szCs w:val="24"/>
        </w:rPr>
        <w:t>, da so sredstva za te namene v okviru Operativnega programa zadostn</w:t>
      </w:r>
      <w:r>
        <w:rPr>
          <w:rFonts w:ascii="Arial" w:eastAsia="Times New Roman" w:hAnsi="Arial"/>
          <w:sz w:val="20"/>
          <w:szCs w:val="24"/>
        </w:rPr>
        <w:t>a</w:t>
      </w:r>
      <w:r w:rsidRPr="00CC4D2B">
        <w:rPr>
          <w:rFonts w:ascii="Arial" w:eastAsia="Times New Roman" w:hAnsi="Arial"/>
          <w:sz w:val="20"/>
          <w:szCs w:val="24"/>
        </w:rPr>
        <w:t xml:space="preserve"> in se usmerjajo na področja, ki izhajajo iz priporočil E</w:t>
      </w:r>
      <w:r>
        <w:rPr>
          <w:rFonts w:ascii="Arial" w:eastAsia="Times New Roman" w:hAnsi="Arial"/>
          <w:sz w:val="20"/>
          <w:szCs w:val="24"/>
        </w:rPr>
        <w:t>K</w:t>
      </w:r>
      <w:r w:rsidRPr="00CC4D2B">
        <w:rPr>
          <w:rFonts w:ascii="Arial" w:eastAsia="Times New Roman" w:hAnsi="Arial"/>
          <w:sz w:val="20"/>
          <w:szCs w:val="24"/>
        </w:rPr>
        <w:t xml:space="preserve"> Republiki Sloveniji </w:t>
      </w:r>
      <w:r>
        <w:rPr>
          <w:rFonts w:ascii="Arial" w:eastAsia="Times New Roman" w:hAnsi="Arial"/>
          <w:sz w:val="20"/>
          <w:szCs w:val="24"/>
        </w:rPr>
        <w:t>in sicer na področja aktivnega in zdravega staranja</w:t>
      </w:r>
      <w:r w:rsidRPr="00CC4D2B">
        <w:rPr>
          <w:rFonts w:ascii="Arial" w:eastAsia="Times New Roman" w:hAnsi="Arial"/>
          <w:sz w:val="20"/>
          <w:szCs w:val="24"/>
        </w:rPr>
        <w:t xml:space="preserve"> </w:t>
      </w:r>
      <w:r>
        <w:rPr>
          <w:rFonts w:ascii="Arial" w:eastAsia="Times New Roman" w:hAnsi="Arial"/>
          <w:sz w:val="20"/>
          <w:szCs w:val="24"/>
        </w:rPr>
        <w:t xml:space="preserve">ter za ukrepe, kjer so potrebe Republike Slovenije najvišje. </w:t>
      </w:r>
      <w:r w:rsidRPr="00AE639E">
        <w:rPr>
          <w:rFonts w:ascii="Arial" w:hAnsi="Arial" w:cs="Arial"/>
          <w:sz w:val="20"/>
          <w:szCs w:val="20"/>
        </w:rPr>
        <w:t xml:space="preserve">Pri alokaciji </w:t>
      </w:r>
      <w:r>
        <w:rPr>
          <w:rFonts w:ascii="Arial" w:hAnsi="Arial" w:cs="Arial"/>
          <w:sz w:val="20"/>
          <w:szCs w:val="20"/>
        </w:rPr>
        <w:t>pravic porabe</w:t>
      </w:r>
      <w:r w:rsidRPr="00AE639E">
        <w:rPr>
          <w:rFonts w:ascii="Arial" w:hAnsi="Arial" w:cs="Arial"/>
          <w:sz w:val="20"/>
          <w:szCs w:val="20"/>
        </w:rPr>
        <w:t xml:space="preserve"> so bili upoštevani nameni, ki so skladni z zahtevami </w:t>
      </w:r>
      <w:r>
        <w:rPr>
          <w:rFonts w:ascii="Arial" w:hAnsi="Arial" w:cs="Arial"/>
          <w:sz w:val="20"/>
          <w:szCs w:val="20"/>
        </w:rPr>
        <w:t>E</w:t>
      </w:r>
      <w:r w:rsidRPr="00AE639E">
        <w:rPr>
          <w:rFonts w:ascii="Arial" w:hAnsi="Arial" w:cs="Arial"/>
          <w:sz w:val="20"/>
          <w:szCs w:val="20"/>
        </w:rPr>
        <w:t>K.</w:t>
      </w:r>
    </w:p>
    <w:p w14:paraId="27E08938" w14:textId="77777777" w:rsidR="00C87588" w:rsidRDefault="00C87588" w:rsidP="00C87588">
      <w:pPr>
        <w:spacing w:after="0" w:line="260" w:lineRule="atLeast"/>
        <w:jc w:val="both"/>
        <w:rPr>
          <w:rFonts w:ascii="Arial" w:eastAsia="Times New Roman" w:hAnsi="Arial"/>
          <w:sz w:val="20"/>
          <w:szCs w:val="24"/>
        </w:rPr>
      </w:pPr>
      <w:r w:rsidRPr="00EE5C01">
        <w:rPr>
          <w:rFonts w:ascii="Arial" w:eastAsia="Times New Roman" w:hAnsi="Arial"/>
          <w:sz w:val="20"/>
          <w:szCs w:val="24"/>
        </w:rPr>
        <w:t>Sredstva ESS se bodo namenila</w:t>
      </w:r>
      <w:r>
        <w:rPr>
          <w:rFonts w:ascii="Arial" w:eastAsia="Times New Roman" w:hAnsi="Arial"/>
          <w:sz w:val="20"/>
          <w:szCs w:val="24"/>
        </w:rPr>
        <w:t xml:space="preserve"> za ukrepe prednostne naložbe a</w:t>
      </w:r>
      <w:r w:rsidRPr="00EE5C01">
        <w:rPr>
          <w:rFonts w:ascii="Arial" w:eastAsia="Times New Roman" w:hAnsi="Arial"/>
          <w:sz w:val="20"/>
          <w:szCs w:val="24"/>
        </w:rPr>
        <w:t>ktivno in zdravo staranje</w:t>
      </w:r>
      <w:r>
        <w:rPr>
          <w:rFonts w:ascii="Arial" w:eastAsia="Times New Roman" w:hAnsi="Arial"/>
          <w:sz w:val="20"/>
          <w:szCs w:val="24"/>
        </w:rPr>
        <w:t xml:space="preserve">, </w:t>
      </w:r>
      <w:r w:rsidRPr="00EE5C01">
        <w:rPr>
          <w:rFonts w:ascii="Arial" w:eastAsia="Times New Roman" w:hAnsi="Arial"/>
          <w:sz w:val="20"/>
          <w:szCs w:val="24"/>
        </w:rPr>
        <w:t>spodbujanju razpoložljivosti cenovno dostopnih, trajnostnih in visoko kakovostnih storitev, vključno z zdravstvenimi in socialnimi storitvami splošnega pomena</w:t>
      </w:r>
      <w:r>
        <w:rPr>
          <w:rFonts w:ascii="Arial" w:eastAsia="Times New Roman" w:hAnsi="Arial"/>
          <w:sz w:val="20"/>
          <w:szCs w:val="24"/>
        </w:rPr>
        <w:t xml:space="preserve"> ter </w:t>
      </w:r>
      <w:r w:rsidRPr="00EE5C01">
        <w:rPr>
          <w:rFonts w:ascii="Arial" w:eastAsia="Times New Roman" w:hAnsi="Arial"/>
          <w:sz w:val="20"/>
          <w:szCs w:val="24"/>
        </w:rPr>
        <w:t>tudi ukrepom za institucionalno zmogljivost</w:t>
      </w:r>
      <w:r>
        <w:rPr>
          <w:rFonts w:ascii="Arial" w:eastAsia="Times New Roman" w:hAnsi="Arial"/>
          <w:sz w:val="20"/>
          <w:szCs w:val="24"/>
        </w:rPr>
        <w:t xml:space="preserve"> </w:t>
      </w:r>
      <w:r w:rsidRPr="00EE5C01">
        <w:rPr>
          <w:rFonts w:ascii="Arial" w:eastAsia="Times New Roman" w:hAnsi="Arial"/>
          <w:sz w:val="20"/>
          <w:szCs w:val="24"/>
        </w:rPr>
        <w:t>ter učinkovitost javnih uprav in javnih storitev na nacionalni, regionalni in lokalni ravni</w:t>
      </w:r>
      <w:r>
        <w:rPr>
          <w:rFonts w:ascii="Arial" w:eastAsia="Times New Roman" w:hAnsi="Arial"/>
          <w:sz w:val="20"/>
          <w:szCs w:val="24"/>
        </w:rPr>
        <w:t xml:space="preserve">. </w:t>
      </w:r>
      <w:r w:rsidRPr="00EE5C01">
        <w:rPr>
          <w:rFonts w:ascii="Arial" w:eastAsia="Times New Roman" w:hAnsi="Arial"/>
          <w:sz w:val="20"/>
          <w:szCs w:val="24"/>
        </w:rPr>
        <w:t>Vsa sredstva bodo namenjena v okviru vsebin in namenov, ki so bili že dogovorjeni v p</w:t>
      </w:r>
      <w:r>
        <w:rPr>
          <w:rFonts w:ascii="Arial" w:eastAsia="Times New Roman" w:hAnsi="Arial"/>
          <w:sz w:val="20"/>
          <w:szCs w:val="24"/>
        </w:rPr>
        <w:t xml:space="preserve">otrjenem Partnerskem sporazumu </w:t>
      </w:r>
      <w:r w:rsidRPr="00EE5C01">
        <w:rPr>
          <w:rFonts w:ascii="Arial" w:eastAsia="Times New Roman" w:hAnsi="Arial"/>
          <w:sz w:val="20"/>
          <w:szCs w:val="24"/>
        </w:rPr>
        <w:t>i</w:t>
      </w:r>
      <w:r>
        <w:rPr>
          <w:rFonts w:ascii="Arial" w:eastAsia="Times New Roman" w:hAnsi="Arial"/>
          <w:sz w:val="20"/>
          <w:szCs w:val="24"/>
        </w:rPr>
        <w:t>n</w:t>
      </w:r>
      <w:r w:rsidRPr="00EE5C01">
        <w:rPr>
          <w:rFonts w:ascii="Arial" w:eastAsia="Times New Roman" w:hAnsi="Arial"/>
          <w:sz w:val="20"/>
          <w:szCs w:val="24"/>
        </w:rPr>
        <w:t xml:space="preserve"> Operativnem programu.</w:t>
      </w:r>
      <w:r>
        <w:rPr>
          <w:rFonts w:ascii="Arial" w:eastAsia="Times New Roman" w:hAnsi="Arial"/>
          <w:sz w:val="20"/>
          <w:szCs w:val="24"/>
        </w:rPr>
        <w:t xml:space="preserve"> </w:t>
      </w:r>
      <w:r w:rsidRPr="00AE639E">
        <w:rPr>
          <w:rFonts w:ascii="Arial" w:eastAsia="Times New Roman" w:hAnsi="Arial"/>
          <w:sz w:val="20"/>
          <w:szCs w:val="24"/>
        </w:rPr>
        <w:t xml:space="preserve">Pri predlogu alokacije </w:t>
      </w:r>
      <w:r>
        <w:rPr>
          <w:rFonts w:ascii="Arial" w:eastAsia="Times New Roman" w:hAnsi="Arial"/>
          <w:sz w:val="20"/>
          <w:szCs w:val="24"/>
        </w:rPr>
        <w:t>pravic porabe</w:t>
      </w:r>
      <w:r w:rsidRPr="00AE639E">
        <w:rPr>
          <w:rFonts w:ascii="Arial" w:eastAsia="Times New Roman" w:hAnsi="Arial"/>
          <w:sz w:val="20"/>
          <w:szCs w:val="24"/>
        </w:rPr>
        <w:t xml:space="preserve"> tehnične prilagoditve v Republiki Sloveniji je  prioriteta spodbujanje skladnega regionalnega razvoja, predvsem s pristopom »od spodaj navzgor« v okviru dogovorov za razvoj regij </w:t>
      </w:r>
      <w:r>
        <w:rPr>
          <w:rFonts w:ascii="Arial" w:eastAsia="Times New Roman" w:hAnsi="Arial"/>
          <w:sz w:val="20"/>
          <w:szCs w:val="24"/>
        </w:rPr>
        <w:t xml:space="preserve">(v nadaljevanju DRR) </w:t>
      </w:r>
      <w:r w:rsidRPr="00AE639E">
        <w:rPr>
          <w:rFonts w:ascii="Arial" w:eastAsia="Times New Roman" w:hAnsi="Arial"/>
          <w:sz w:val="20"/>
          <w:szCs w:val="24"/>
        </w:rPr>
        <w:t xml:space="preserve">in ob upoštevanju odločanja na regionalni ravni na podlagi strateških dokumentov ter teritorialnega dialoga. Zato se predlog nanaša na razporeditev </w:t>
      </w:r>
      <w:r>
        <w:rPr>
          <w:rFonts w:ascii="Arial" w:eastAsia="Times New Roman" w:hAnsi="Arial"/>
          <w:sz w:val="20"/>
          <w:szCs w:val="24"/>
        </w:rPr>
        <w:t>pravic porabe</w:t>
      </w:r>
      <w:r w:rsidRPr="00AE639E">
        <w:rPr>
          <w:rFonts w:ascii="Arial" w:eastAsia="Times New Roman" w:hAnsi="Arial"/>
          <w:sz w:val="20"/>
          <w:szCs w:val="24"/>
        </w:rPr>
        <w:t xml:space="preserve"> predvsem na tiste prednostne osi, kjer je izkazan jasen interes regij.</w:t>
      </w:r>
    </w:p>
    <w:p w14:paraId="6BFCFAF0" w14:textId="77777777" w:rsidR="00C87588" w:rsidRDefault="00C87588" w:rsidP="00C87588">
      <w:pPr>
        <w:spacing w:after="0" w:line="260" w:lineRule="atLeast"/>
        <w:jc w:val="both"/>
        <w:rPr>
          <w:rFonts w:ascii="Arial" w:eastAsia="Times New Roman" w:hAnsi="Arial"/>
          <w:sz w:val="20"/>
          <w:szCs w:val="24"/>
        </w:rPr>
      </w:pPr>
    </w:p>
    <w:p w14:paraId="6333C1F8" w14:textId="77777777" w:rsidR="00C87588" w:rsidRPr="00AE639E" w:rsidRDefault="00C87588" w:rsidP="00C87588">
      <w:pPr>
        <w:spacing w:after="120" w:line="260" w:lineRule="atLeast"/>
        <w:jc w:val="both"/>
        <w:rPr>
          <w:rFonts w:ascii="Arial" w:eastAsia="Times New Roman" w:hAnsi="Arial"/>
          <w:sz w:val="20"/>
          <w:szCs w:val="24"/>
        </w:rPr>
      </w:pPr>
      <w:r w:rsidRPr="00AE639E">
        <w:rPr>
          <w:rFonts w:ascii="Arial" w:eastAsia="Times New Roman" w:hAnsi="Arial"/>
          <w:sz w:val="20"/>
          <w:szCs w:val="24"/>
        </w:rPr>
        <w:t xml:space="preserve">Po sklopih politik </w:t>
      </w:r>
      <w:r>
        <w:rPr>
          <w:rFonts w:ascii="Arial" w:eastAsia="Times New Roman" w:hAnsi="Arial"/>
          <w:sz w:val="20"/>
          <w:szCs w:val="24"/>
        </w:rPr>
        <w:t xml:space="preserve">se </w:t>
      </w:r>
      <w:r w:rsidRPr="00AE639E">
        <w:rPr>
          <w:rFonts w:ascii="Arial" w:eastAsia="Times New Roman" w:hAnsi="Arial"/>
          <w:sz w:val="20"/>
          <w:szCs w:val="24"/>
        </w:rPr>
        <w:t>dodatna sredstva iz tehnične prilagoditve nam</w:t>
      </w:r>
      <w:r>
        <w:rPr>
          <w:rFonts w:ascii="Arial" w:eastAsia="Times New Roman" w:hAnsi="Arial"/>
          <w:sz w:val="20"/>
          <w:szCs w:val="24"/>
        </w:rPr>
        <w:t>enjajo</w:t>
      </w:r>
      <w:r w:rsidRPr="00AE639E">
        <w:rPr>
          <w:rFonts w:ascii="Arial" w:eastAsia="Times New Roman" w:hAnsi="Arial"/>
          <w:sz w:val="20"/>
          <w:szCs w:val="24"/>
        </w:rPr>
        <w:t>:</w:t>
      </w:r>
    </w:p>
    <w:p w14:paraId="53A53FCD" w14:textId="77777777" w:rsidR="00C87588" w:rsidRPr="00AE639E" w:rsidRDefault="00C87588" w:rsidP="00C87588">
      <w:pPr>
        <w:numPr>
          <w:ilvl w:val="0"/>
          <w:numId w:val="6"/>
        </w:numPr>
        <w:spacing w:after="0" w:line="260" w:lineRule="atLeast"/>
        <w:jc w:val="both"/>
        <w:rPr>
          <w:rFonts w:ascii="Arial" w:eastAsia="Times New Roman" w:hAnsi="Arial"/>
          <w:sz w:val="20"/>
          <w:szCs w:val="24"/>
        </w:rPr>
      </w:pPr>
      <w:r w:rsidRPr="00AE639E">
        <w:rPr>
          <w:rFonts w:ascii="Arial" w:eastAsia="Times New Roman" w:hAnsi="Arial"/>
          <w:sz w:val="20"/>
          <w:szCs w:val="24"/>
        </w:rPr>
        <w:t>infrastrukturi (</w:t>
      </w:r>
      <w:r>
        <w:rPr>
          <w:rFonts w:ascii="Arial" w:eastAsia="Times New Roman" w:hAnsi="Arial"/>
          <w:sz w:val="20"/>
          <w:szCs w:val="24"/>
        </w:rPr>
        <w:t xml:space="preserve">ki </w:t>
      </w:r>
      <w:r w:rsidRPr="00AE639E">
        <w:rPr>
          <w:rFonts w:ascii="Arial" w:eastAsia="Times New Roman" w:hAnsi="Arial"/>
          <w:sz w:val="20"/>
          <w:szCs w:val="24"/>
        </w:rPr>
        <w:t xml:space="preserve">predstavlja absolutno prioriteto teritorialnega dialoga) 44.968.996 </w:t>
      </w:r>
      <w:r>
        <w:rPr>
          <w:rFonts w:ascii="Arial" w:eastAsia="Times New Roman" w:hAnsi="Arial"/>
          <w:sz w:val="20"/>
          <w:szCs w:val="24"/>
        </w:rPr>
        <w:t>evrov oziroma okoli 81 %</w:t>
      </w:r>
      <w:r w:rsidRPr="00AE639E">
        <w:rPr>
          <w:rFonts w:ascii="Arial" w:eastAsia="Times New Roman" w:hAnsi="Arial"/>
          <w:sz w:val="20"/>
          <w:szCs w:val="24"/>
        </w:rPr>
        <w:t xml:space="preserve"> </w:t>
      </w:r>
      <w:r>
        <w:rPr>
          <w:rFonts w:ascii="Arial" w:eastAsia="Times New Roman" w:hAnsi="Arial"/>
          <w:sz w:val="20"/>
          <w:szCs w:val="24"/>
        </w:rPr>
        <w:t>in</w:t>
      </w:r>
    </w:p>
    <w:p w14:paraId="058D8D38" w14:textId="77777777" w:rsidR="00C87588" w:rsidRPr="00AE639E" w:rsidRDefault="00C87588" w:rsidP="00C87588">
      <w:pPr>
        <w:numPr>
          <w:ilvl w:val="0"/>
          <w:numId w:val="6"/>
        </w:numPr>
        <w:spacing w:after="0" w:line="260" w:lineRule="atLeast"/>
        <w:jc w:val="both"/>
        <w:rPr>
          <w:rFonts w:ascii="Arial" w:eastAsia="Times New Roman" w:hAnsi="Arial"/>
          <w:sz w:val="20"/>
          <w:szCs w:val="24"/>
        </w:rPr>
      </w:pPr>
      <w:r w:rsidRPr="00AE639E">
        <w:rPr>
          <w:rFonts w:ascii="Arial" w:eastAsia="Times New Roman" w:hAnsi="Arial"/>
          <w:sz w:val="20"/>
          <w:szCs w:val="24"/>
        </w:rPr>
        <w:t xml:space="preserve">razvoju človeških virov 11.056.161 </w:t>
      </w:r>
      <w:r>
        <w:rPr>
          <w:rFonts w:ascii="Arial" w:eastAsia="Times New Roman" w:hAnsi="Arial"/>
          <w:sz w:val="20"/>
          <w:szCs w:val="24"/>
        </w:rPr>
        <w:t>evrov oziroma okoli 19 %.</w:t>
      </w:r>
    </w:p>
    <w:p w14:paraId="226F467B" w14:textId="77777777" w:rsidR="00C87588" w:rsidRPr="00CC4D2B" w:rsidRDefault="00C87588" w:rsidP="00C87588">
      <w:pPr>
        <w:jc w:val="both"/>
        <w:rPr>
          <w:rFonts w:ascii="Arial" w:eastAsia="Times New Roman" w:hAnsi="Arial"/>
          <w:sz w:val="20"/>
          <w:szCs w:val="24"/>
        </w:rPr>
      </w:pPr>
    </w:p>
    <w:p w14:paraId="21EFABCF" w14:textId="77777777" w:rsidR="00C87588" w:rsidRPr="00AE639E" w:rsidRDefault="00C87588" w:rsidP="00C87588">
      <w:pPr>
        <w:jc w:val="both"/>
        <w:rPr>
          <w:rFonts w:ascii="Arial" w:hAnsi="Arial" w:cs="Arial"/>
          <w:sz w:val="20"/>
          <w:szCs w:val="20"/>
        </w:rPr>
      </w:pPr>
      <w:r w:rsidRPr="00AE639E">
        <w:rPr>
          <w:rFonts w:ascii="Arial" w:hAnsi="Arial" w:cs="Arial"/>
          <w:sz w:val="20"/>
          <w:szCs w:val="20"/>
        </w:rPr>
        <w:t>Dodatna finančna sredstva skupne kohezijske ovojnice so Republiki Sloveniji na voljo od 1. 1. 2017 naprej. Dodeljena dodatna sredstva porabe (</w:t>
      </w:r>
      <w:proofErr w:type="spellStart"/>
      <w:r w:rsidRPr="00AE639E">
        <w:rPr>
          <w:rFonts w:ascii="Arial" w:hAnsi="Arial" w:cs="Arial"/>
          <w:sz w:val="20"/>
          <w:szCs w:val="20"/>
        </w:rPr>
        <w:t>commitments</w:t>
      </w:r>
      <w:proofErr w:type="spellEnd"/>
      <w:r w:rsidRPr="00AE639E">
        <w:rPr>
          <w:rFonts w:ascii="Arial" w:hAnsi="Arial" w:cs="Arial"/>
          <w:sz w:val="20"/>
          <w:szCs w:val="20"/>
        </w:rPr>
        <w:t xml:space="preserve">) se po letih od 2017 do 2020 razdelijo enakomerno. </w:t>
      </w:r>
    </w:p>
    <w:p w14:paraId="029EF6D9" w14:textId="77777777" w:rsidR="00C87588" w:rsidRDefault="00C87588" w:rsidP="00C87588">
      <w:pPr>
        <w:jc w:val="both"/>
        <w:rPr>
          <w:rFonts w:ascii="Arial" w:eastAsia="Times New Roman" w:hAnsi="Arial"/>
          <w:sz w:val="20"/>
          <w:szCs w:val="24"/>
        </w:rPr>
      </w:pPr>
    </w:p>
    <w:p w14:paraId="2770A3B9" w14:textId="77777777" w:rsidR="00C87588" w:rsidRPr="00EE5C01" w:rsidRDefault="00C87588" w:rsidP="00C87588">
      <w:pPr>
        <w:jc w:val="both"/>
        <w:rPr>
          <w:rFonts w:ascii="Arial" w:eastAsia="Times New Roman" w:hAnsi="Arial"/>
          <w:sz w:val="20"/>
          <w:szCs w:val="24"/>
        </w:rPr>
      </w:pPr>
    </w:p>
    <w:p w14:paraId="2745AF3A" w14:textId="77777777" w:rsidR="00C87588" w:rsidRDefault="00C87588" w:rsidP="00C87588">
      <w:pPr>
        <w:jc w:val="both"/>
        <w:rPr>
          <w:rFonts w:ascii="Arial" w:eastAsia="Times New Roman" w:hAnsi="Arial"/>
          <w:sz w:val="20"/>
          <w:szCs w:val="24"/>
        </w:rPr>
      </w:pPr>
    </w:p>
    <w:p w14:paraId="37600555" w14:textId="77777777" w:rsidR="00C87588" w:rsidRDefault="00C87588" w:rsidP="00C87588">
      <w:pPr>
        <w:jc w:val="both"/>
        <w:rPr>
          <w:rFonts w:ascii="Arial" w:eastAsia="Times New Roman" w:hAnsi="Arial"/>
          <w:sz w:val="20"/>
          <w:szCs w:val="24"/>
        </w:rPr>
      </w:pPr>
    </w:p>
    <w:p w14:paraId="79B96FBB" w14:textId="77777777" w:rsidR="00C87588" w:rsidRPr="00240AF6" w:rsidRDefault="00C87588" w:rsidP="00C87588">
      <w:pPr>
        <w:spacing w:after="0" w:line="288" w:lineRule="auto"/>
        <w:jc w:val="both"/>
        <w:rPr>
          <w:rFonts w:ascii="Arial" w:hAnsi="Arial" w:cs="Arial"/>
          <w:b/>
          <w:sz w:val="20"/>
          <w:szCs w:val="20"/>
        </w:rPr>
        <w:sectPr w:rsidR="00C87588" w:rsidRPr="00240AF6" w:rsidSect="00105CA5">
          <w:footerReference w:type="default" r:id="rId10"/>
          <w:pgSz w:w="11900" w:h="16840"/>
          <w:pgMar w:top="2041" w:right="1797" w:bottom="1440" w:left="1701" w:header="709" w:footer="567" w:gutter="0"/>
          <w:cols w:space="708"/>
          <w:docGrid w:linePitch="360"/>
        </w:sectPr>
      </w:pPr>
    </w:p>
    <w:p w14:paraId="5A0061AD" w14:textId="77777777" w:rsidR="00C87588" w:rsidRPr="00240AF6" w:rsidRDefault="00C87588" w:rsidP="00C87588">
      <w:pPr>
        <w:spacing w:after="0" w:line="288" w:lineRule="auto"/>
        <w:jc w:val="both"/>
        <w:rPr>
          <w:rFonts w:ascii="Arial" w:hAnsi="Arial" w:cs="Arial"/>
          <w:b/>
          <w:sz w:val="20"/>
          <w:szCs w:val="20"/>
        </w:rPr>
      </w:pPr>
    </w:p>
    <w:p w14:paraId="5BB016B8" w14:textId="77777777" w:rsidR="00C87588" w:rsidRDefault="00C87588" w:rsidP="00C87588">
      <w:pPr>
        <w:jc w:val="both"/>
        <w:rPr>
          <w:rFonts w:ascii="Arial" w:eastAsia="Times New Roman" w:hAnsi="Arial"/>
          <w:b/>
          <w:sz w:val="20"/>
          <w:szCs w:val="24"/>
        </w:rPr>
      </w:pPr>
      <w:r>
        <w:rPr>
          <w:rFonts w:ascii="Arial" w:eastAsia="Times New Roman" w:hAnsi="Arial"/>
          <w:b/>
          <w:sz w:val="20"/>
          <w:szCs w:val="24"/>
        </w:rPr>
        <w:t>Tabela 1: T</w:t>
      </w:r>
      <w:r w:rsidRPr="00240AF6">
        <w:rPr>
          <w:rFonts w:ascii="Arial" w:eastAsia="Times New Roman" w:hAnsi="Arial"/>
          <w:b/>
          <w:sz w:val="20"/>
          <w:szCs w:val="24"/>
        </w:rPr>
        <w:t xml:space="preserve">ehnična prilagoditev – alokacija </w:t>
      </w:r>
      <w:r>
        <w:rPr>
          <w:rFonts w:ascii="Arial" w:eastAsia="Times New Roman" w:hAnsi="Arial"/>
          <w:b/>
          <w:sz w:val="20"/>
          <w:szCs w:val="24"/>
        </w:rPr>
        <w:t>pravic porabe v evrih (evropski del)</w:t>
      </w:r>
      <w:r w:rsidRPr="00240AF6">
        <w:rPr>
          <w:rFonts w:ascii="Arial" w:eastAsia="Times New Roman" w:hAnsi="Arial"/>
          <w:b/>
          <w:sz w:val="20"/>
          <w:szCs w:val="24"/>
        </w:rPr>
        <w:t>:</w:t>
      </w:r>
    </w:p>
    <w:tbl>
      <w:tblPr>
        <w:tblW w:w="9229" w:type="dxa"/>
        <w:tblInd w:w="55" w:type="dxa"/>
        <w:tblCellMar>
          <w:left w:w="70" w:type="dxa"/>
          <w:right w:w="70" w:type="dxa"/>
        </w:tblCellMar>
        <w:tblLook w:val="04A0" w:firstRow="1" w:lastRow="0" w:firstColumn="1" w:lastColumn="0" w:noHBand="0" w:noVBand="1"/>
      </w:tblPr>
      <w:tblGrid>
        <w:gridCol w:w="1294"/>
        <w:gridCol w:w="1021"/>
        <w:gridCol w:w="1021"/>
        <w:gridCol w:w="851"/>
        <w:gridCol w:w="885"/>
        <w:gridCol w:w="1066"/>
        <w:gridCol w:w="955"/>
        <w:gridCol w:w="1144"/>
        <w:gridCol w:w="992"/>
      </w:tblGrid>
      <w:tr w:rsidR="00C87588" w:rsidRPr="00037282" w14:paraId="5F3596C2" w14:textId="77777777" w:rsidTr="00C87588">
        <w:trPr>
          <w:trHeight w:val="585"/>
        </w:trPr>
        <w:tc>
          <w:tcPr>
            <w:tcW w:w="1294" w:type="dxa"/>
            <w:vMerge w:val="restart"/>
            <w:tcBorders>
              <w:top w:val="single" w:sz="12" w:space="0" w:color="auto"/>
              <w:left w:val="single" w:sz="12" w:space="0" w:color="auto"/>
              <w:bottom w:val="dashed" w:sz="8" w:space="0" w:color="000000"/>
              <w:right w:val="single" w:sz="12" w:space="0" w:color="auto"/>
            </w:tcBorders>
            <w:shd w:val="clear" w:color="000000" w:fill="EEECE1"/>
            <w:vAlign w:val="center"/>
            <w:hideMark/>
          </w:tcPr>
          <w:p w14:paraId="0D6467C4" w14:textId="77777777" w:rsidR="00C87588" w:rsidRPr="00037282" w:rsidRDefault="00C87588" w:rsidP="00C87588">
            <w:pPr>
              <w:jc w:val="center"/>
              <w:rPr>
                <w:rFonts w:ascii="Arial" w:eastAsia="Times New Roman" w:hAnsi="Arial"/>
                <w:color w:val="000000"/>
                <w:sz w:val="16"/>
                <w:szCs w:val="16"/>
                <w:lang w:val="en-GB" w:eastAsia="sl-SI"/>
              </w:rPr>
            </w:pPr>
            <w:r w:rsidRPr="00240AF6">
              <w:rPr>
                <w:rFonts w:ascii="Arial" w:eastAsia="Times New Roman" w:hAnsi="Arial"/>
                <w:color w:val="000000"/>
                <w:sz w:val="16"/>
                <w:szCs w:val="16"/>
                <w:lang w:eastAsia="sl-SI"/>
              </w:rPr>
              <w:t>Utemeljitev globalnega strateškega okvira</w:t>
            </w:r>
          </w:p>
        </w:tc>
        <w:tc>
          <w:tcPr>
            <w:tcW w:w="1021" w:type="dxa"/>
            <w:vMerge w:val="restart"/>
            <w:tcBorders>
              <w:top w:val="single" w:sz="12" w:space="0" w:color="auto"/>
              <w:left w:val="single" w:sz="12" w:space="0" w:color="auto"/>
              <w:bottom w:val="dashed" w:sz="8" w:space="0" w:color="000000"/>
              <w:right w:val="dashed" w:sz="8" w:space="0" w:color="auto"/>
            </w:tcBorders>
            <w:shd w:val="clear" w:color="000000" w:fill="EEECE1"/>
            <w:vAlign w:val="center"/>
            <w:hideMark/>
          </w:tcPr>
          <w:p w14:paraId="5FED724A" w14:textId="77777777" w:rsidR="00C87588" w:rsidRPr="00037282" w:rsidRDefault="00C87588" w:rsidP="00C87588">
            <w:pPr>
              <w:jc w:val="center"/>
              <w:rPr>
                <w:rFonts w:ascii="Arial" w:eastAsia="Times New Roman" w:hAnsi="Arial"/>
                <w:b/>
                <w:bCs/>
                <w:color w:val="000000"/>
                <w:sz w:val="16"/>
                <w:szCs w:val="16"/>
                <w:lang w:val="en-GB" w:eastAsia="sl-SI"/>
              </w:rPr>
            </w:pPr>
            <w:r w:rsidRPr="00240AF6">
              <w:rPr>
                <w:rFonts w:ascii="Arial" w:eastAsia="Times New Roman" w:hAnsi="Arial"/>
                <w:b/>
                <w:bCs/>
                <w:color w:val="000000"/>
                <w:sz w:val="16"/>
                <w:szCs w:val="16"/>
                <w:lang w:eastAsia="sl-SI"/>
              </w:rPr>
              <w:t>Prednostna os</w:t>
            </w:r>
          </w:p>
        </w:tc>
        <w:tc>
          <w:tcPr>
            <w:tcW w:w="1021" w:type="dxa"/>
            <w:vMerge w:val="restart"/>
            <w:tcBorders>
              <w:top w:val="single" w:sz="12" w:space="0" w:color="auto"/>
              <w:left w:val="dashed" w:sz="8" w:space="0" w:color="auto"/>
              <w:bottom w:val="dashed" w:sz="8" w:space="0" w:color="000000"/>
              <w:right w:val="dashed" w:sz="8" w:space="0" w:color="auto"/>
            </w:tcBorders>
            <w:shd w:val="clear" w:color="000000" w:fill="EEECE1"/>
            <w:vAlign w:val="center"/>
            <w:hideMark/>
          </w:tcPr>
          <w:p w14:paraId="3346618B" w14:textId="77777777" w:rsidR="00C87588" w:rsidRPr="00037282" w:rsidRDefault="00C87588" w:rsidP="00C87588">
            <w:pPr>
              <w:jc w:val="center"/>
              <w:rPr>
                <w:rFonts w:ascii="Arial" w:eastAsia="Times New Roman" w:hAnsi="Arial"/>
                <w:b/>
                <w:bCs/>
                <w:color w:val="000000"/>
                <w:sz w:val="16"/>
                <w:szCs w:val="16"/>
                <w:lang w:val="en-GB" w:eastAsia="sl-SI"/>
              </w:rPr>
            </w:pPr>
            <w:r w:rsidRPr="00240AF6">
              <w:rPr>
                <w:rFonts w:ascii="Arial" w:eastAsia="Times New Roman" w:hAnsi="Arial"/>
                <w:b/>
                <w:bCs/>
                <w:color w:val="000000"/>
                <w:sz w:val="16"/>
                <w:szCs w:val="16"/>
                <w:lang w:eastAsia="sl-SI"/>
              </w:rPr>
              <w:t>Prednostna naložba</w:t>
            </w:r>
          </w:p>
        </w:tc>
        <w:tc>
          <w:tcPr>
            <w:tcW w:w="1736" w:type="dxa"/>
            <w:gridSpan w:val="2"/>
            <w:vMerge w:val="restart"/>
            <w:tcBorders>
              <w:top w:val="single" w:sz="12" w:space="0" w:color="auto"/>
              <w:left w:val="dashed" w:sz="8" w:space="0" w:color="auto"/>
              <w:right w:val="dashed" w:sz="8" w:space="0" w:color="auto"/>
            </w:tcBorders>
            <w:shd w:val="clear" w:color="000000" w:fill="EEECE1"/>
            <w:vAlign w:val="center"/>
            <w:hideMark/>
          </w:tcPr>
          <w:p w14:paraId="2E18D11D" w14:textId="77777777" w:rsidR="00C87588" w:rsidRPr="007B2EF3" w:rsidRDefault="00C87588" w:rsidP="00C87588">
            <w:pPr>
              <w:jc w:val="center"/>
              <w:rPr>
                <w:rFonts w:ascii="Arial" w:eastAsia="Times New Roman" w:hAnsi="Arial"/>
                <w:b/>
                <w:bCs/>
                <w:color w:val="000000"/>
                <w:sz w:val="16"/>
                <w:szCs w:val="16"/>
                <w:lang w:eastAsia="sl-SI"/>
              </w:rPr>
            </w:pPr>
            <w:r w:rsidRPr="00240AF6">
              <w:rPr>
                <w:rFonts w:ascii="Arial" w:eastAsia="Times New Roman" w:hAnsi="Arial"/>
                <w:b/>
                <w:bCs/>
                <w:color w:val="000000"/>
                <w:sz w:val="16"/>
                <w:szCs w:val="16"/>
                <w:lang w:eastAsia="sl-SI"/>
              </w:rPr>
              <w:t>Kohezijska regija (Zahod)</w:t>
            </w:r>
          </w:p>
        </w:tc>
        <w:tc>
          <w:tcPr>
            <w:tcW w:w="2021" w:type="dxa"/>
            <w:gridSpan w:val="2"/>
            <w:vMerge w:val="restart"/>
            <w:tcBorders>
              <w:top w:val="single" w:sz="12" w:space="0" w:color="auto"/>
              <w:left w:val="dashed" w:sz="8" w:space="0" w:color="auto"/>
              <w:bottom w:val="dashed" w:sz="8" w:space="0" w:color="000000"/>
              <w:right w:val="dashed" w:sz="8" w:space="0" w:color="000000"/>
            </w:tcBorders>
            <w:shd w:val="clear" w:color="000000" w:fill="EEECE1"/>
            <w:vAlign w:val="center"/>
            <w:hideMark/>
          </w:tcPr>
          <w:p w14:paraId="091B012F" w14:textId="77777777" w:rsidR="00C87588" w:rsidRPr="00037282" w:rsidRDefault="00C87588" w:rsidP="00C87588">
            <w:pPr>
              <w:jc w:val="center"/>
              <w:rPr>
                <w:rFonts w:ascii="Arial" w:eastAsia="Times New Roman" w:hAnsi="Arial"/>
                <w:b/>
                <w:bCs/>
                <w:color w:val="000000"/>
                <w:sz w:val="16"/>
                <w:szCs w:val="16"/>
                <w:lang w:val="en-GB" w:eastAsia="sl-SI"/>
              </w:rPr>
            </w:pPr>
            <w:r w:rsidRPr="00240AF6">
              <w:rPr>
                <w:rFonts w:ascii="Arial" w:eastAsia="Times New Roman" w:hAnsi="Arial"/>
                <w:b/>
                <w:bCs/>
                <w:color w:val="000000"/>
                <w:sz w:val="16"/>
                <w:szCs w:val="16"/>
                <w:lang w:eastAsia="sl-SI"/>
              </w:rPr>
              <w:t>Kohezijska regija (Vzhod)</w:t>
            </w:r>
          </w:p>
        </w:tc>
        <w:tc>
          <w:tcPr>
            <w:tcW w:w="1144" w:type="dxa"/>
            <w:tcBorders>
              <w:top w:val="single" w:sz="12" w:space="0" w:color="auto"/>
              <w:left w:val="nil"/>
              <w:bottom w:val="nil"/>
              <w:right w:val="dashed" w:sz="8" w:space="0" w:color="auto"/>
            </w:tcBorders>
            <w:shd w:val="clear" w:color="000000" w:fill="EEECE1"/>
            <w:vAlign w:val="center"/>
            <w:hideMark/>
          </w:tcPr>
          <w:p w14:paraId="6C090BAA" w14:textId="77777777" w:rsidR="00C87588" w:rsidRPr="00037282" w:rsidRDefault="00C87588" w:rsidP="00C87588">
            <w:pPr>
              <w:jc w:val="center"/>
              <w:rPr>
                <w:rFonts w:ascii="Arial" w:eastAsia="Times New Roman" w:hAnsi="Arial"/>
                <w:b/>
                <w:bCs/>
                <w:color w:val="000000"/>
                <w:sz w:val="16"/>
                <w:szCs w:val="16"/>
                <w:lang w:val="en-GB" w:eastAsia="sl-SI"/>
              </w:rPr>
            </w:pPr>
            <w:r w:rsidRPr="00240AF6">
              <w:rPr>
                <w:rFonts w:ascii="Arial" w:eastAsia="Times New Roman" w:hAnsi="Arial"/>
                <w:b/>
                <w:bCs/>
                <w:color w:val="000000"/>
                <w:sz w:val="16"/>
                <w:szCs w:val="16"/>
                <w:lang w:eastAsia="sl-SI"/>
              </w:rPr>
              <w:t>Celotna </w:t>
            </w:r>
          </w:p>
        </w:tc>
        <w:tc>
          <w:tcPr>
            <w:tcW w:w="992" w:type="dxa"/>
            <w:vMerge w:val="restart"/>
            <w:tcBorders>
              <w:top w:val="single" w:sz="12" w:space="0" w:color="auto"/>
              <w:left w:val="dashed" w:sz="8" w:space="0" w:color="auto"/>
              <w:bottom w:val="dashed" w:sz="8" w:space="0" w:color="000000"/>
              <w:right w:val="single" w:sz="18" w:space="0" w:color="auto"/>
            </w:tcBorders>
            <w:shd w:val="clear" w:color="000000" w:fill="EEECE1"/>
            <w:noWrap/>
            <w:vAlign w:val="center"/>
            <w:hideMark/>
          </w:tcPr>
          <w:p w14:paraId="32115D50" w14:textId="77777777" w:rsidR="00C87588" w:rsidRPr="00037282" w:rsidRDefault="00C87588" w:rsidP="00C87588">
            <w:pPr>
              <w:jc w:val="center"/>
              <w:rPr>
                <w:rFonts w:ascii="Arial" w:eastAsia="Times New Roman" w:hAnsi="Arial"/>
                <w:b/>
                <w:bCs/>
                <w:color w:val="000000"/>
                <w:sz w:val="16"/>
                <w:szCs w:val="16"/>
                <w:lang w:val="en-GB" w:eastAsia="sl-SI"/>
              </w:rPr>
            </w:pPr>
            <w:r w:rsidRPr="00240AF6">
              <w:rPr>
                <w:rFonts w:ascii="Arial" w:eastAsia="Times New Roman" w:hAnsi="Arial"/>
                <w:b/>
                <w:bCs/>
                <w:color w:val="000000"/>
                <w:sz w:val="16"/>
                <w:szCs w:val="16"/>
                <w:lang w:eastAsia="sl-SI"/>
              </w:rPr>
              <w:t>Skupaj</w:t>
            </w:r>
          </w:p>
        </w:tc>
      </w:tr>
      <w:tr w:rsidR="00C87588" w:rsidRPr="00037282" w14:paraId="01B8B95F" w14:textId="77777777" w:rsidTr="00C87588">
        <w:trPr>
          <w:trHeight w:val="606"/>
        </w:trPr>
        <w:tc>
          <w:tcPr>
            <w:tcW w:w="1294" w:type="dxa"/>
            <w:vMerge/>
            <w:tcBorders>
              <w:top w:val="single" w:sz="12" w:space="0" w:color="auto"/>
              <w:left w:val="single" w:sz="12" w:space="0" w:color="auto"/>
              <w:bottom w:val="dashed" w:sz="8" w:space="0" w:color="000000"/>
              <w:right w:val="single" w:sz="12" w:space="0" w:color="auto"/>
            </w:tcBorders>
            <w:vAlign w:val="center"/>
            <w:hideMark/>
          </w:tcPr>
          <w:p w14:paraId="25E5825F" w14:textId="77777777" w:rsidR="00C87588" w:rsidRPr="00037282" w:rsidRDefault="00C87588" w:rsidP="00C87588">
            <w:pPr>
              <w:rPr>
                <w:rFonts w:ascii="Arial" w:eastAsia="Times New Roman" w:hAnsi="Arial"/>
                <w:color w:val="000000"/>
                <w:sz w:val="16"/>
                <w:szCs w:val="16"/>
                <w:lang w:val="en-GB" w:eastAsia="sl-SI"/>
              </w:rPr>
            </w:pPr>
          </w:p>
        </w:tc>
        <w:tc>
          <w:tcPr>
            <w:tcW w:w="1021" w:type="dxa"/>
            <w:vMerge/>
            <w:tcBorders>
              <w:top w:val="single" w:sz="12" w:space="0" w:color="auto"/>
              <w:left w:val="single" w:sz="12" w:space="0" w:color="auto"/>
              <w:bottom w:val="dashed" w:sz="8" w:space="0" w:color="000000"/>
              <w:right w:val="dashed" w:sz="8" w:space="0" w:color="auto"/>
            </w:tcBorders>
            <w:vAlign w:val="center"/>
            <w:hideMark/>
          </w:tcPr>
          <w:p w14:paraId="70C72D95" w14:textId="77777777" w:rsidR="00C87588" w:rsidRPr="00037282" w:rsidRDefault="00C87588" w:rsidP="00C87588">
            <w:pPr>
              <w:rPr>
                <w:rFonts w:ascii="Arial" w:eastAsia="Times New Roman" w:hAnsi="Arial"/>
                <w:b/>
                <w:bCs/>
                <w:color w:val="000000"/>
                <w:sz w:val="16"/>
                <w:szCs w:val="16"/>
                <w:lang w:val="en-GB" w:eastAsia="sl-SI"/>
              </w:rPr>
            </w:pPr>
          </w:p>
        </w:tc>
        <w:tc>
          <w:tcPr>
            <w:tcW w:w="1021" w:type="dxa"/>
            <w:vMerge/>
            <w:tcBorders>
              <w:top w:val="single" w:sz="12" w:space="0" w:color="auto"/>
              <w:left w:val="dashed" w:sz="8" w:space="0" w:color="auto"/>
              <w:bottom w:val="dashed" w:sz="8" w:space="0" w:color="000000"/>
              <w:right w:val="dashed" w:sz="8" w:space="0" w:color="auto"/>
            </w:tcBorders>
            <w:vAlign w:val="center"/>
            <w:hideMark/>
          </w:tcPr>
          <w:p w14:paraId="242C9A60" w14:textId="77777777" w:rsidR="00C87588" w:rsidRPr="00037282" w:rsidRDefault="00C87588" w:rsidP="00C87588">
            <w:pPr>
              <w:rPr>
                <w:rFonts w:ascii="Arial" w:eastAsia="Times New Roman" w:hAnsi="Arial"/>
                <w:b/>
                <w:bCs/>
                <w:color w:val="000000"/>
                <w:sz w:val="16"/>
                <w:szCs w:val="16"/>
                <w:lang w:val="en-GB" w:eastAsia="sl-SI"/>
              </w:rPr>
            </w:pPr>
          </w:p>
        </w:tc>
        <w:tc>
          <w:tcPr>
            <w:tcW w:w="1736" w:type="dxa"/>
            <w:gridSpan w:val="2"/>
            <w:vMerge/>
            <w:tcBorders>
              <w:left w:val="dashed" w:sz="8" w:space="0" w:color="auto"/>
              <w:bottom w:val="dashed" w:sz="8" w:space="0" w:color="000000"/>
              <w:right w:val="dashed" w:sz="8" w:space="0" w:color="auto"/>
            </w:tcBorders>
            <w:vAlign w:val="center"/>
            <w:hideMark/>
          </w:tcPr>
          <w:p w14:paraId="5E2B2845" w14:textId="77777777" w:rsidR="00C87588" w:rsidRPr="007B2EF3" w:rsidRDefault="00C87588" w:rsidP="00C87588">
            <w:pPr>
              <w:jc w:val="center"/>
              <w:rPr>
                <w:rFonts w:ascii="Arial" w:eastAsia="Times New Roman" w:hAnsi="Arial"/>
                <w:b/>
                <w:bCs/>
                <w:color w:val="000000"/>
                <w:sz w:val="16"/>
                <w:szCs w:val="16"/>
                <w:lang w:eastAsia="sl-SI"/>
              </w:rPr>
            </w:pPr>
          </w:p>
        </w:tc>
        <w:tc>
          <w:tcPr>
            <w:tcW w:w="2021" w:type="dxa"/>
            <w:gridSpan w:val="2"/>
            <w:vMerge/>
            <w:tcBorders>
              <w:top w:val="single" w:sz="12" w:space="0" w:color="auto"/>
              <w:left w:val="dashed" w:sz="8" w:space="0" w:color="auto"/>
              <w:bottom w:val="dashed" w:sz="8" w:space="0" w:color="000000"/>
              <w:right w:val="dashed" w:sz="8" w:space="0" w:color="000000"/>
            </w:tcBorders>
            <w:vAlign w:val="center"/>
            <w:hideMark/>
          </w:tcPr>
          <w:p w14:paraId="38B4BF46" w14:textId="77777777" w:rsidR="00C87588" w:rsidRPr="00037282" w:rsidRDefault="00C87588" w:rsidP="00C87588">
            <w:pPr>
              <w:rPr>
                <w:rFonts w:ascii="Arial" w:eastAsia="Times New Roman" w:hAnsi="Arial"/>
                <w:b/>
                <w:bCs/>
                <w:color w:val="000000"/>
                <w:sz w:val="16"/>
                <w:szCs w:val="16"/>
                <w:lang w:val="en-GB" w:eastAsia="sl-SI"/>
              </w:rPr>
            </w:pPr>
          </w:p>
        </w:tc>
        <w:tc>
          <w:tcPr>
            <w:tcW w:w="1144" w:type="dxa"/>
            <w:tcBorders>
              <w:top w:val="nil"/>
              <w:left w:val="nil"/>
              <w:bottom w:val="dashed" w:sz="8" w:space="0" w:color="auto"/>
              <w:right w:val="dashed" w:sz="8" w:space="0" w:color="auto"/>
            </w:tcBorders>
            <w:shd w:val="clear" w:color="000000" w:fill="EEECE1"/>
            <w:vAlign w:val="center"/>
            <w:hideMark/>
          </w:tcPr>
          <w:p w14:paraId="091AC2F7" w14:textId="77777777" w:rsidR="00C87588" w:rsidRPr="00037282" w:rsidRDefault="00C87588" w:rsidP="00C87588">
            <w:pPr>
              <w:jc w:val="center"/>
              <w:rPr>
                <w:rFonts w:ascii="Arial" w:eastAsia="Times New Roman" w:hAnsi="Arial"/>
                <w:b/>
                <w:bCs/>
                <w:color w:val="000000"/>
                <w:sz w:val="16"/>
                <w:szCs w:val="16"/>
                <w:lang w:val="en-GB" w:eastAsia="sl-SI"/>
              </w:rPr>
            </w:pPr>
            <w:r w:rsidRPr="00240AF6">
              <w:rPr>
                <w:rFonts w:ascii="Arial" w:eastAsia="Times New Roman" w:hAnsi="Arial"/>
                <w:b/>
                <w:bCs/>
                <w:color w:val="000000"/>
                <w:sz w:val="16"/>
                <w:szCs w:val="16"/>
                <w:lang w:eastAsia="sl-SI"/>
              </w:rPr>
              <w:t>Slovenija</w:t>
            </w:r>
          </w:p>
        </w:tc>
        <w:tc>
          <w:tcPr>
            <w:tcW w:w="992" w:type="dxa"/>
            <w:vMerge/>
            <w:tcBorders>
              <w:top w:val="single" w:sz="12" w:space="0" w:color="auto"/>
              <w:left w:val="dashed" w:sz="8" w:space="0" w:color="auto"/>
              <w:bottom w:val="dashed" w:sz="8" w:space="0" w:color="000000"/>
              <w:right w:val="single" w:sz="18" w:space="0" w:color="auto"/>
            </w:tcBorders>
            <w:vAlign w:val="center"/>
            <w:hideMark/>
          </w:tcPr>
          <w:p w14:paraId="62B62BBC" w14:textId="77777777" w:rsidR="00C87588" w:rsidRPr="00037282" w:rsidRDefault="00C87588" w:rsidP="00C87588">
            <w:pPr>
              <w:rPr>
                <w:rFonts w:ascii="Arial" w:eastAsia="Times New Roman" w:hAnsi="Arial"/>
                <w:b/>
                <w:bCs/>
                <w:color w:val="000000"/>
                <w:sz w:val="16"/>
                <w:szCs w:val="16"/>
                <w:lang w:val="en-GB" w:eastAsia="sl-SI"/>
              </w:rPr>
            </w:pPr>
          </w:p>
        </w:tc>
      </w:tr>
      <w:tr w:rsidR="00C87588" w:rsidRPr="00037282" w14:paraId="43DB7E51" w14:textId="77777777" w:rsidTr="00122670">
        <w:trPr>
          <w:trHeight w:val="315"/>
        </w:trPr>
        <w:tc>
          <w:tcPr>
            <w:tcW w:w="1294" w:type="dxa"/>
            <w:tcBorders>
              <w:top w:val="nil"/>
              <w:left w:val="single" w:sz="12" w:space="0" w:color="auto"/>
              <w:bottom w:val="dashed" w:sz="8" w:space="0" w:color="auto"/>
              <w:right w:val="nil"/>
            </w:tcBorders>
            <w:shd w:val="clear" w:color="000000" w:fill="EEECE1"/>
            <w:hideMark/>
          </w:tcPr>
          <w:p w14:paraId="44656629" w14:textId="6CC790CC" w:rsidR="00C87588" w:rsidRDefault="00122670" w:rsidP="00122670">
            <w:pPr>
              <w:jc w:val="center"/>
              <w:rPr>
                <w:rFonts w:ascii="Arial" w:eastAsia="Times New Roman" w:hAnsi="Arial"/>
                <w:b/>
                <w:color w:val="000000"/>
                <w:sz w:val="16"/>
                <w:szCs w:val="16"/>
                <w:lang w:eastAsia="sl-SI"/>
              </w:rPr>
            </w:pPr>
            <w:r>
              <w:rPr>
                <w:rFonts w:ascii="Arial" w:eastAsia="Times New Roman" w:hAnsi="Arial"/>
                <w:b/>
                <w:color w:val="000000"/>
                <w:sz w:val="16"/>
                <w:szCs w:val="16"/>
                <w:lang w:eastAsia="sl-SI"/>
              </w:rPr>
              <w:t>Sklad</w:t>
            </w:r>
          </w:p>
          <w:p w14:paraId="26AC1E78" w14:textId="5DC9D590" w:rsidR="00122670" w:rsidRPr="00E01FFF" w:rsidRDefault="00122670" w:rsidP="00122670">
            <w:pPr>
              <w:jc w:val="center"/>
              <w:rPr>
                <w:rFonts w:ascii="Arial" w:eastAsia="Times New Roman" w:hAnsi="Arial"/>
                <w:b/>
                <w:color w:val="000000"/>
                <w:sz w:val="16"/>
                <w:szCs w:val="16"/>
                <w:lang w:eastAsia="sl-SI"/>
              </w:rPr>
            </w:pPr>
          </w:p>
        </w:tc>
        <w:tc>
          <w:tcPr>
            <w:tcW w:w="1021" w:type="dxa"/>
            <w:tcBorders>
              <w:top w:val="nil"/>
              <w:left w:val="single" w:sz="12" w:space="0" w:color="auto"/>
              <w:bottom w:val="dashed" w:sz="8" w:space="0" w:color="auto"/>
              <w:right w:val="dashed" w:sz="8" w:space="0" w:color="auto"/>
            </w:tcBorders>
            <w:shd w:val="clear" w:color="000000" w:fill="EEECE1"/>
            <w:hideMark/>
          </w:tcPr>
          <w:p w14:paraId="3419BAD6" w14:textId="184104C8" w:rsidR="00C87588" w:rsidRPr="00037282" w:rsidRDefault="00C87588" w:rsidP="00122670">
            <w:pPr>
              <w:jc w:val="center"/>
              <w:rPr>
                <w:rFonts w:ascii="Arial" w:eastAsia="Times New Roman" w:hAnsi="Arial"/>
                <w:b/>
                <w:bCs/>
                <w:color w:val="000000"/>
                <w:sz w:val="16"/>
                <w:szCs w:val="16"/>
                <w:lang w:val="en-GB" w:eastAsia="sl-SI"/>
              </w:rPr>
            </w:pPr>
          </w:p>
        </w:tc>
        <w:tc>
          <w:tcPr>
            <w:tcW w:w="1021" w:type="dxa"/>
            <w:tcBorders>
              <w:top w:val="nil"/>
              <w:left w:val="nil"/>
              <w:bottom w:val="dashed" w:sz="8" w:space="0" w:color="auto"/>
              <w:right w:val="dashed" w:sz="8" w:space="0" w:color="auto"/>
            </w:tcBorders>
            <w:shd w:val="clear" w:color="000000" w:fill="EEECE1"/>
            <w:hideMark/>
          </w:tcPr>
          <w:p w14:paraId="5A217B08" w14:textId="11612E99" w:rsidR="00C87588" w:rsidRPr="00037282" w:rsidRDefault="00C87588" w:rsidP="00122670">
            <w:pPr>
              <w:jc w:val="center"/>
              <w:rPr>
                <w:rFonts w:ascii="Arial" w:eastAsia="Times New Roman" w:hAnsi="Arial"/>
                <w:b/>
                <w:bCs/>
                <w:color w:val="000000"/>
                <w:sz w:val="16"/>
                <w:szCs w:val="16"/>
                <w:lang w:val="en-GB" w:eastAsia="sl-SI"/>
              </w:rPr>
            </w:pPr>
          </w:p>
        </w:tc>
        <w:tc>
          <w:tcPr>
            <w:tcW w:w="851" w:type="dxa"/>
            <w:tcBorders>
              <w:top w:val="nil"/>
              <w:left w:val="nil"/>
              <w:bottom w:val="dashed" w:sz="8" w:space="0" w:color="auto"/>
              <w:right w:val="dashed" w:sz="8" w:space="0" w:color="auto"/>
            </w:tcBorders>
            <w:shd w:val="clear" w:color="000000" w:fill="EEECE1"/>
            <w:hideMark/>
          </w:tcPr>
          <w:p w14:paraId="5179D332" w14:textId="77777777" w:rsidR="00C87588" w:rsidRPr="00037282" w:rsidRDefault="00C87588" w:rsidP="00122670">
            <w:pPr>
              <w:jc w:val="center"/>
              <w:rPr>
                <w:rFonts w:ascii="Arial" w:eastAsia="Times New Roman" w:hAnsi="Arial"/>
                <w:b/>
                <w:bCs/>
                <w:color w:val="000000"/>
                <w:sz w:val="16"/>
                <w:szCs w:val="16"/>
                <w:lang w:val="en-GB" w:eastAsia="sl-SI"/>
              </w:rPr>
            </w:pPr>
            <w:r w:rsidRPr="00240AF6">
              <w:rPr>
                <w:rFonts w:ascii="Arial" w:eastAsia="Times New Roman" w:hAnsi="Arial"/>
                <w:b/>
                <w:bCs/>
                <w:color w:val="000000"/>
                <w:sz w:val="16"/>
                <w:szCs w:val="16"/>
                <w:lang w:eastAsia="sl-SI"/>
              </w:rPr>
              <w:t>ESRR</w:t>
            </w:r>
          </w:p>
        </w:tc>
        <w:tc>
          <w:tcPr>
            <w:tcW w:w="885" w:type="dxa"/>
            <w:tcBorders>
              <w:top w:val="nil"/>
              <w:left w:val="nil"/>
              <w:bottom w:val="dashed" w:sz="8" w:space="0" w:color="auto"/>
              <w:right w:val="dashed" w:sz="8" w:space="0" w:color="auto"/>
            </w:tcBorders>
            <w:shd w:val="clear" w:color="000000" w:fill="EEECE1"/>
          </w:tcPr>
          <w:p w14:paraId="49A81794" w14:textId="77777777" w:rsidR="00C87588" w:rsidRPr="00240AF6" w:rsidRDefault="00C87588" w:rsidP="00122670">
            <w:pPr>
              <w:jc w:val="center"/>
              <w:rPr>
                <w:rFonts w:ascii="Arial" w:eastAsia="Times New Roman" w:hAnsi="Arial"/>
                <w:b/>
                <w:bCs/>
                <w:color w:val="000000"/>
                <w:sz w:val="16"/>
                <w:szCs w:val="16"/>
                <w:lang w:eastAsia="sl-SI"/>
              </w:rPr>
            </w:pPr>
            <w:r w:rsidRPr="00240AF6">
              <w:rPr>
                <w:rFonts w:ascii="Arial" w:eastAsia="Times New Roman" w:hAnsi="Arial"/>
                <w:b/>
                <w:bCs/>
                <w:color w:val="000000"/>
                <w:sz w:val="16"/>
                <w:szCs w:val="16"/>
                <w:lang w:eastAsia="sl-SI"/>
              </w:rPr>
              <w:t>ESS</w:t>
            </w:r>
          </w:p>
        </w:tc>
        <w:tc>
          <w:tcPr>
            <w:tcW w:w="1066" w:type="dxa"/>
            <w:tcBorders>
              <w:top w:val="nil"/>
              <w:left w:val="dashed" w:sz="8" w:space="0" w:color="auto"/>
              <w:bottom w:val="dashed" w:sz="8" w:space="0" w:color="auto"/>
              <w:right w:val="dashed" w:sz="8" w:space="0" w:color="auto"/>
            </w:tcBorders>
            <w:shd w:val="clear" w:color="000000" w:fill="EEECE1"/>
            <w:hideMark/>
          </w:tcPr>
          <w:p w14:paraId="509D709E" w14:textId="58455110" w:rsidR="00C87588" w:rsidRPr="00037282" w:rsidRDefault="00C87588" w:rsidP="00122670">
            <w:pPr>
              <w:jc w:val="center"/>
              <w:rPr>
                <w:rFonts w:ascii="Arial" w:eastAsia="Times New Roman" w:hAnsi="Arial"/>
                <w:b/>
                <w:bCs/>
                <w:color w:val="000000"/>
                <w:sz w:val="16"/>
                <w:szCs w:val="16"/>
                <w:lang w:val="en-GB" w:eastAsia="sl-SI"/>
              </w:rPr>
            </w:pPr>
            <w:r w:rsidRPr="00240AF6">
              <w:rPr>
                <w:rFonts w:ascii="Arial" w:eastAsia="Times New Roman" w:hAnsi="Arial"/>
                <w:b/>
                <w:bCs/>
                <w:color w:val="000000"/>
                <w:sz w:val="16"/>
                <w:szCs w:val="16"/>
                <w:lang w:eastAsia="sl-SI"/>
              </w:rPr>
              <w:t>ESRR</w:t>
            </w:r>
          </w:p>
        </w:tc>
        <w:tc>
          <w:tcPr>
            <w:tcW w:w="955" w:type="dxa"/>
            <w:tcBorders>
              <w:top w:val="nil"/>
              <w:left w:val="nil"/>
              <w:bottom w:val="dashed" w:sz="8" w:space="0" w:color="auto"/>
              <w:right w:val="dashed" w:sz="8" w:space="0" w:color="auto"/>
            </w:tcBorders>
            <w:shd w:val="clear" w:color="000000" w:fill="EEECE1"/>
            <w:hideMark/>
          </w:tcPr>
          <w:p w14:paraId="42F62DCC" w14:textId="16A6176F" w:rsidR="00C87588" w:rsidRPr="00037282" w:rsidRDefault="00122670" w:rsidP="00122670">
            <w:pPr>
              <w:jc w:val="center"/>
              <w:rPr>
                <w:rFonts w:ascii="Arial" w:eastAsia="Times New Roman" w:hAnsi="Arial"/>
                <w:b/>
                <w:bCs/>
                <w:color w:val="000000"/>
                <w:sz w:val="16"/>
                <w:szCs w:val="16"/>
                <w:lang w:val="en-GB" w:eastAsia="sl-SI"/>
              </w:rPr>
            </w:pPr>
            <w:r>
              <w:rPr>
                <w:rFonts w:ascii="Arial" w:eastAsia="Times New Roman" w:hAnsi="Arial"/>
                <w:b/>
                <w:bCs/>
                <w:color w:val="000000"/>
                <w:sz w:val="16"/>
                <w:szCs w:val="16"/>
                <w:lang w:eastAsia="sl-SI"/>
              </w:rPr>
              <w:t>ESS</w:t>
            </w:r>
          </w:p>
        </w:tc>
        <w:tc>
          <w:tcPr>
            <w:tcW w:w="1144" w:type="dxa"/>
            <w:tcBorders>
              <w:top w:val="nil"/>
              <w:left w:val="nil"/>
              <w:bottom w:val="dashed" w:sz="8" w:space="0" w:color="auto"/>
              <w:right w:val="dashed" w:sz="8" w:space="0" w:color="auto"/>
            </w:tcBorders>
            <w:shd w:val="clear" w:color="000000" w:fill="EEECE1"/>
            <w:hideMark/>
          </w:tcPr>
          <w:p w14:paraId="7947C120" w14:textId="7643B677" w:rsidR="00C87588" w:rsidRPr="00037282" w:rsidRDefault="00C87588" w:rsidP="00122670">
            <w:pPr>
              <w:jc w:val="center"/>
              <w:rPr>
                <w:rFonts w:ascii="Arial" w:eastAsia="Times New Roman" w:hAnsi="Arial"/>
                <w:b/>
                <w:bCs/>
                <w:color w:val="000000"/>
                <w:sz w:val="16"/>
                <w:szCs w:val="16"/>
                <w:lang w:val="en-GB" w:eastAsia="sl-SI"/>
              </w:rPr>
            </w:pPr>
            <w:r w:rsidRPr="00240AF6">
              <w:rPr>
                <w:rFonts w:ascii="Arial" w:eastAsia="Times New Roman" w:hAnsi="Arial"/>
                <w:b/>
                <w:bCs/>
                <w:color w:val="000000"/>
                <w:sz w:val="16"/>
                <w:szCs w:val="16"/>
                <w:lang w:eastAsia="sl-SI"/>
              </w:rPr>
              <w:t>KS</w:t>
            </w:r>
          </w:p>
        </w:tc>
        <w:tc>
          <w:tcPr>
            <w:tcW w:w="992" w:type="dxa"/>
            <w:tcBorders>
              <w:top w:val="nil"/>
              <w:left w:val="nil"/>
              <w:bottom w:val="dashed" w:sz="8" w:space="0" w:color="auto"/>
              <w:right w:val="single" w:sz="18" w:space="0" w:color="auto"/>
            </w:tcBorders>
            <w:shd w:val="clear" w:color="000000" w:fill="EEECE1"/>
            <w:hideMark/>
          </w:tcPr>
          <w:p w14:paraId="50C8D68B" w14:textId="1EBBE367" w:rsidR="00C87588" w:rsidRPr="00037282" w:rsidRDefault="00C87588" w:rsidP="00122670">
            <w:pPr>
              <w:jc w:val="center"/>
              <w:rPr>
                <w:rFonts w:ascii="Arial" w:eastAsia="Times New Roman" w:hAnsi="Arial"/>
                <w:b/>
                <w:bCs/>
                <w:color w:val="000000"/>
                <w:sz w:val="16"/>
                <w:szCs w:val="16"/>
                <w:lang w:val="en-GB" w:eastAsia="sl-SI"/>
              </w:rPr>
            </w:pPr>
          </w:p>
        </w:tc>
      </w:tr>
      <w:tr w:rsidR="00C87588" w:rsidRPr="00037282" w14:paraId="1D32AC2C" w14:textId="77777777" w:rsidTr="00C87588">
        <w:trPr>
          <w:trHeight w:val="315"/>
        </w:trPr>
        <w:tc>
          <w:tcPr>
            <w:tcW w:w="1294" w:type="dxa"/>
            <w:tcBorders>
              <w:top w:val="nil"/>
              <w:left w:val="single" w:sz="12" w:space="0" w:color="auto"/>
              <w:bottom w:val="dashed" w:sz="8" w:space="0" w:color="auto"/>
              <w:right w:val="nil"/>
            </w:tcBorders>
            <w:shd w:val="clear" w:color="auto" w:fill="auto"/>
            <w:vAlign w:val="center"/>
          </w:tcPr>
          <w:p w14:paraId="5689D1E0" w14:textId="77777777" w:rsidR="00C87588" w:rsidRPr="00037282" w:rsidRDefault="00C87588" w:rsidP="00C87588">
            <w:pPr>
              <w:jc w:val="center"/>
              <w:rPr>
                <w:rFonts w:ascii="Arial" w:eastAsia="Times New Roman" w:hAnsi="Arial"/>
                <w:color w:val="000000"/>
                <w:sz w:val="16"/>
                <w:szCs w:val="16"/>
                <w:lang w:val="en-GB" w:eastAsia="sl-SI"/>
              </w:rPr>
            </w:pPr>
            <w:r w:rsidRPr="00240AF6">
              <w:rPr>
                <w:rFonts w:ascii="Arial" w:eastAsia="Times New Roman" w:hAnsi="Arial"/>
                <w:color w:val="000000"/>
                <w:sz w:val="16"/>
                <w:szCs w:val="16"/>
                <w:lang w:eastAsia="sl-SI"/>
              </w:rPr>
              <w:t>Infrastruktura</w:t>
            </w:r>
          </w:p>
        </w:tc>
        <w:tc>
          <w:tcPr>
            <w:tcW w:w="1021" w:type="dxa"/>
            <w:tcBorders>
              <w:top w:val="nil"/>
              <w:left w:val="single" w:sz="12" w:space="0" w:color="auto"/>
              <w:bottom w:val="dashed" w:sz="8" w:space="0" w:color="auto"/>
              <w:right w:val="dashed" w:sz="8" w:space="0" w:color="auto"/>
            </w:tcBorders>
            <w:shd w:val="clear" w:color="auto" w:fill="auto"/>
            <w:vAlign w:val="center"/>
          </w:tcPr>
          <w:p w14:paraId="00456029" w14:textId="77777777" w:rsidR="00C87588" w:rsidRPr="00037282" w:rsidRDefault="00C87588" w:rsidP="00C87588">
            <w:pPr>
              <w:jc w:val="center"/>
              <w:rPr>
                <w:rFonts w:ascii="Arial" w:eastAsia="Times New Roman" w:hAnsi="Arial"/>
                <w:b/>
                <w:bCs/>
                <w:color w:val="000000"/>
                <w:sz w:val="16"/>
                <w:szCs w:val="16"/>
                <w:lang w:val="en-GB" w:eastAsia="sl-SI"/>
              </w:rPr>
            </w:pPr>
            <w:r w:rsidRPr="00037282">
              <w:rPr>
                <w:rFonts w:ascii="Arial" w:eastAsia="Times New Roman" w:hAnsi="Arial"/>
                <w:b/>
                <w:bCs/>
                <w:color w:val="000000"/>
                <w:sz w:val="16"/>
                <w:szCs w:val="16"/>
                <w:lang w:val="en-GB" w:eastAsia="sl-SI"/>
              </w:rPr>
              <w:t>4</w:t>
            </w:r>
          </w:p>
        </w:tc>
        <w:tc>
          <w:tcPr>
            <w:tcW w:w="1021" w:type="dxa"/>
            <w:tcBorders>
              <w:top w:val="nil"/>
              <w:left w:val="nil"/>
              <w:bottom w:val="dashed" w:sz="8" w:space="0" w:color="auto"/>
              <w:right w:val="dashed" w:sz="8" w:space="0" w:color="auto"/>
            </w:tcBorders>
            <w:shd w:val="clear" w:color="auto" w:fill="auto"/>
            <w:vAlign w:val="center"/>
          </w:tcPr>
          <w:p w14:paraId="0086B9F3" w14:textId="77777777" w:rsidR="00C87588" w:rsidRPr="00037282" w:rsidRDefault="00C87588" w:rsidP="00C87588">
            <w:pPr>
              <w:jc w:val="center"/>
              <w:rPr>
                <w:rFonts w:ascii="Arial" w:eastAsia="Times New Roman" w:hAnsi="Arial"/>
                <w:b/>
                <w:bCs/>
                <w:color w:val="000000"/>
                <w:sz w:val="16"/>
                <w:szCs w:val="16"/>
                <w:lang w:val="en-GB" w:eastAsia="sl-SI"/>
              </w:rPr>
            </w:pPr>
            <w:r w:rsidRPr="00037282">
              <w:rPr>
                <w:rFonts w:ascii="Arial" w:eastAsia="Times New Roman" w:hAnsi="Arial"/>
                <w:b/>
                <w:bCs/>
                <w:color w:val="000000"/>
                <w:sz w:val="16"/>
                <w:szCs w:val="16"/>
                <w:lang w:val="en-GB" w:eastAsia="sl-SI"/>
              </w:rPr>
              <w:t>4</w:t>
            </w:r>
          </w:p>
        </w:tc>
        <w:tc>
          <w:tcPr>
            <w:tcW w:w="851" w:type="dxa"/>
            <w:tcBorders>
              <w:top w:val="nil"/>
              <w:left w:val="nil"/>
              <w:bottom w:val="nil"/>
              <w:right w:val="nil"/>
            </w:tcBorders>
            <w:shd w:val="clear" w:color="auto" w:fill="auto"/>
            <w:noWrap/>
            <w:vAlign w:val="bottom"/>
          </w:tcPr>
          <w:p w14:paraId="4B984378" w14:textId="77777777" w:rsidR="00C87588" w:rsidRPr="00037282" w:rsidRDefault="00C87588" w:rsidP="00C87588">
            <w:pPr>
              <w:rPr>
                <w:rFonts w:ascii="Arial" w:eastAsia="Times New Roman" w:hAnsi="Arial"/>
                <w:color w:val="000000"/>
                <w:sz w:val="20"/>
                <w:szCs w:val="20"/>
                <w:lang w:val="en-GB" w:eastAsia="sl-SI"/>
              </w:rPr>
            </w:pPr>
            <w:r>
              <w:rPr>
                <w:rFonts w:ascii="Arial" w:eastAsia="Times New Roman" w:hAnsi="Arial"/>
                <w:color w:val="000000"/>
                <w:sz w:val="16"/>
                <w:szCs w:val="16"/>
                <w:lang w:val="en-GB" w:eastAsia="sl-SI"/>
              </w:rPr>
              <w:t>914.864</w:t>
            </w:r>
          </w:p>
        </w:tc>
        <w:tc>
          <w:tcPr>
            <w:tcW w:w="885" w:type="dxa"/>
            <w:tcBorders>
              <w:top w:val="nil"/>
              <w:left w:val="dashed" w:sz="8" w:space="0" w:color="auto"/>
              <w:bottom w:val="dashed" w:sz="8" w:space="0" w:color="auto"/>
              <w:right w:val="dashed" w:sz="8" w:space="0" w:color="auto"/>
            </w:tcBorders>
          </w:tcPr>
          <w:p w14:paraId="2B61308B" w14:textId="77777777" w:rsidR="00C87588" w:rsidRPr="00037282" w:rsidRDefault="00C87588" w:rsidP="00C87588">
            <w:pPr>
              <w:jc w:val="center"/>
              <w:rPr>
                <w:rFonts w:ascii="Arial" w:eastAsia="Times New Roman" w:hAnsi="Arial"/>
                <w:color w:val="000000"/>
                <w:sz w:val="16"/>
                <w:szCs w:val="16"/>
                <w:lang w:val="en-GB" w:eastAsia="sl-SI"/>
              </w:rPr>
            </w:pPr>
          </w:p>
        </w:tc>
        <w:tc>
          <w:tcPr>
            <w:tcW w:w="1066" w:type="dxa"/>
            <w:tcBorders>
              <w:top w:val="nil"/>
              <w:left w:val="dashed" w:sz="8" w:space="0" w:color="auto"/>
              <w:bottom w:val="dashed" w:sz="8" w:space="0" w:color="auto"/>
              <w:right w:val="dashed" w:sz="8" w:space="0" w:color="auto"/>
            </w:tcBorders>
            <w:shd w:val="clear" w:color="auto" w:fill="auto"/>
            <w:vAlign w:val="center"/>
          </w:tcPr>
          <w:p w14:paraId="4A90102C" w14:textId="77777777" w:rsidR="00C87588" w:rsidRPr="00037282" w:rsidRDefault="00C87588" w:rsidP="00C87588">
            <w:pPr>
              <w:jc w:val="center"/>
              <w:rPr>
                <w:rFonts w:ascii="Arial" w:eastAsia="Times New Roman" w:hAnsi="Arial"/>
                <w:color w:val="000000"/>
                <w:sz w:val="16"/>
                <w:szCs w:val="16"/>
                <w:lang w:val="en-GB" w:eastAsia="sl-SI"/>
              </w:rPr>
            </w:pPr>
            <w:r>
              <w:rPr>
                <w:rFonts w:ascii="Arial" w:eastAsia="Times New Roman" w:hAnsi="Arial"/>
                <w:color w:val="000000"/>
                <w:sz w:val="16"/>
                <w:szCs w:val="16"/>
                <w:lang w:val="en-GB" w:eastAsia="sl-SI"/>
              </w:rPr>
              <w:t>11.085.136</w:t>
            </w:r>
            <w:r w:rsidRPr="00037282">
              <w:rPr>
                <w:rFonts w:ascii="Arial" w:eastAsia="Times New Roman" w:hAnsi="Arial"/>
                <w:color w:val="000000"/>
                <w:sz w:val="16"/>
                <w:szCs w:val="16"/>
                <w:lang w:val="en-GB" w:eastAsia="sl-SI"/>
              </w:rPr>
              <w:t xml:space="preserve"> </w:t>
            </w:r>
          </w:p>
        </w:tc>
        <w:tc>
          <w:tcPr>
            <w:tcW w:w="955" w:type="dxa"/>
            <w:tcBorders>
              <w:top w:val="nil"/>
              <w:left w:val="nil"/>
              <w:bottom w:val="dashed" w:sz="8" w:space="0" w:color="auto"/>
              <w:right w:val="dashed" w:sz="8" w:space="0" w:color="auto"/>
            </w:tcBorders>
            <w:shd w:val="clear" w:color="auto" w:fill="auto"/>
            <w:vAlign w:val="center"/>
          </w:tcPr>
          <w:p w14:paraId="13C9535C" w14:textId="77777777" w:rsidR="00C87588" w:rsidRPr="00037282" w:rsidRDefault="00C87588" w:rsidP="00C87588">
            <w:pPr>
              <w:jc w:val="center"/>
              <w:rPr>
                <w:rFonts w:ascii="Arial" w:eastAsia="Times New Roman" w:hAnsi="Arial"/>
                <w:color w:val="000000"/>
                <w:sz w:val="16"/>
                <w:szCs w:val="16"/>
                <w:lang w:val="en-GB" w:eastAsia="sl-SI"/>
              </w:rPr>
            </w:pPr>
            <w:r w:rsidRPr="00037282">
              <w:rPr>
                <w:rFonts w:ascii="Arial" w:eastAsia="Times New Roman" w:hAnsi="Arial"/>
                <w:color w:val="000000"/>
                <w:sz w:val="16"/>
                <w:szCs w:val="16"/>
                <w:lang w:val="en-GB" w:eastAsia="sl-SI"/>
              </w:rPr>
              <w:t> </w:t>
            </w:r>
          </w:p>
        </w:tc>
        <w:tc>
          <w:tcPr>
            <w:tcW w:w="1144" w:type="dxa"/>
            <w:tcBorders>
              <w:top w:val="nil"/>
              <w:left w:val="nil"/>
              <w:bottom w:val="dashed" w:sz="8" w:space="0" w:color="auto"/>
              <w:right w:val="dashed" w:sz="8" w:space="0" w:color="auto"/>
            </w:tcBorders>
            <w:shd w:val="clear" w:color="auto" w:fill="auto"/>
            <w:vAlign w:val="center"/>
          </w:tcPr>
          <w:p w14:paraId="2D8FAF10" w14:textId="77777777" w:rsidR="00C87588" w:rsidRPr="00037282" w:rsidRDefault="00C87588" w:rsidP="00C87588">
            <w:pPr>
              <w:jc w:val="center"/>
              <w:rPr>
                <w:rFonts w:ascii="Arial" w:eastAsia="Times New Roman" w:hAnsi="Arial"/>
                <w:color w:val="000000"/>
                <w:sz w:val="16"/>
                <w:szCs w:val="16"/>
                <w:lang w:val="en-GB" w:eastAsia="sl-SI"/>
              </w:rPr>
            </w:pPr>
            <w:r w:rsidRPr="00037282">
              <w:rPr>
                <w:rFonts w:ascii="Arial" w:eastAsia="Times New Roman" w:hAnsi="Arial"/>
                <w:color w:val="000000"/>
                <w:sz w:val="16"/>
                <w:szCs w:val="16"/>
                <w:lang w:val="en-GB" w:eastAsia="sl-SI"/>
              </w:rPr>
              <w:t> </w:t>
            </w:r>
          </w:p>
        </w:tc>
        <w:tc>
          <w:tcPr>
            <w:tcW w:w="992" w:type="dxa"/>
            <w:tcBorders>
              <w:top w:val="nil"/>
              <w:left w:val="nil"/>
              <w:bottom w:val="dashed" w:sz="8" w:space="0" w:color="auto"/>
              <w:right w:val="single" w:sz="18" w:space="0" w:color="auto"/>
            </w:tcBorders>
            <w:shd w:val="clear" w:color="auto" w:fill="auto"/>
            <w:vAlign w:val="center"/>
          </w:tcPr>
          <w:p w14:paraId="7C3BCCF4" w14:textId="77777777" w:rsidR="00C87588" w:rsidRPr="00037282" w:rsidRDefault="00C87588" w:rsidP="00C87588">
            <w:pPr>
              <w:jc w:val="center"/>
              <w:rPr>
                <w:rFonts w:ascii="Arial" w:eastAsia="Times New Roman" w:hAnsi="Arial"/>
                <w:b/>
                <w:bCs/>
                <w:color w:val="000000"/>
                <w:sz w:val="16"/>
                <w:szCs w:val="16"/>
                <w:lang w:val="en-GB" w:eastAsia="sl-SI"/>
              </w:rPr>
            </w:pPr>
            <w:r w:rsidRPr="00037282">
              <w:rPr>
                <w:rFonts w:ascii="Arial" w:eastAsia="Times New Roman" w:hAnsi="Arial"/>
                <w:b/>
                <w:bCs/>
                <w:color w:val="000000"/>
                <w:sz w:val="16"/>
                <w:szCs w:val="16"/>
                <w:lang w:val="en-GB" w:eastAsia="sl-SI"/>
              </w:rPr>
              <w:t xml:space="preserve">12.000.000 </w:t>
            </w:r>
          </w:p>
        </w:tc>
      </w:tr>
      <w:tr w:rsidR="00C87588" w:rsidRPr="00037282" w14:paraId="5B6A1982" w14:textId="77777777" w:rsidTr="00C87588">
        <w:trPr>
          <w:trHeight w:val="315"/>
        </w:trPr>
        <w:tc>
          <w:tcPr>
            <w:tcW w:w="1294" w:type="dxa"/>
            <w:tcBorders>
              <w:top w:val="nil"/>
              <w:left w:val="single" w:sz="12" w:space="0" w:color="auto"/>
              <w:bottom w:val="dashed" w:sz="8" w:space="0" w:color="auto"/>
              <w:right w:val="nil"/>
            </w:tcBorders>
            <w:shd w:val="clear" w:color="auto" w:fill="auto"/>
            <w:vAlign w:val="center"/>
            <w:hideMark/>
          </w:tcPr>
          <w:p w14:paraId="3C03CD4E" w14:textId="77777777" w:rsidR="00C87588" w:rsidRPr="00037282" w:rsidRDefault="00C87588" w:rsidP="00C87588">
            <w:pPr>
              <w:jc w:val="center"/>
              <w:rPr>
                <w:rFonts w:ascii="Arial" w:eastAsia="Times New Roman" w:hAnsi="Arial"/>
                <w:color w:val="000000"/>
                <w:sz w:val="16"/>
                <w:szCs w:val="16"/>
                <w:lang w:val="en-GB" w:eastAsia="sl-SI"/>
              </w:rPr>
            </w:pPr>
            <w:r w:rsidRPr="00240AF6">
              <w:rPr>
                <w:rFonts w:ascii="Arial" w:eastAsia="Times New Roman" w:hAnsi="Arial"/>
                <w:color w:val="000000"/>
                <w:sz w:val="16"/>
                <w:szCs w:val="16"/>
                <w:lang w:eastAsia="sl-SI"/>
              </w:rPr>
              <w:t>Infrastruktura</w:t>
            </w:r>
          </w:p>
        </w:tc>
        <w:tc>
          <w:tcPr>
            <w:tcW w:w="1021" w:type="dxa"/>
            <w:tcBorders>
              <w:top w:val="nil"/>
              <w:left w:val="single" w:sz="12" w:space="0" w:color="auto"/>
              <w:bottom w:val="dashed" w:sz="8" w:space="0" w:color="auto"/>
              <w:right w:val="dashed" w:sz="8" w:space="0" w:color="auto"/>
            </w:tcBorders>
            <w:shd w:val="clear" w:color="auto" w:fill="auto"/>
            <w:vAlign w:val="center"/>
            <w:hideMark/>
          </w:tcPr>
          <w:p w14:paraId="78E80173" w14:textId="77777777" w:rsidR="00C87588" w:rsidRPr="00037282" w:rsidRDefault="00C87588" w:rsidP="00C87588">
            <w:pPr>
              <w:jc w:val="center"/>
              <w:rPr>
                <w:rFonts w:ascii="Arial" w:eastAsia="Times New Roman" w:hAnsi="Arial"/>
                <w:b/>
                <w:bCs/>
                <w:color w:val="000000"/>
                <w:sz w:val="16"/>
                <w:szCs w:val="16"/>
                <w:lang w:val="en-GB" w:eastAsia="sl-SI"/>
              </w:rPr>
            </w:pPr>
            <w:r w:rsidRPr="00037282">
              <w:rPr>
                <w:rFonts w:ascii="Arial" w:eastAsia="Times New Roman" w:hAnsi="Arial"/>
                <w:b/>
                <w:bCs/>
                <w:color w:val="000000"/>
                <w:sz w:val="16"/>
                <w:szCs w:val="16"/>
                <w:lang w:val="en-GB" w:eastAsia="sl-SI"/>
              </w:rPr>
              <w:t>5</w:t>
            </w:r>
          </w:p>
        </w:tc>
        <w:tc>
          <w:tcPr>
            <w:tcW w:w="1021" w:type="dxa"/>
            <w:tcBorders>
              <w:top w:val="nil"/>
              <w:left w:val="nil"/>
              <w:bottom w:val="dashed" w:sz="8" w:space="0" w:color="auto"/>
              <w:right w:val="dashed" w:sz="8" w:space="0" w:color="auto"/>
            </w:tcBorders>
            <w:shd w:val="clear" w:color="auto" w:fill="auto"/>
            <w:vAlign w:val="center"/>
            <w:hideMark/>
          </w:tcPr>
          <w:p w14:paraId="778C89FE" w14:textId="77777777" w:rsidR="00C87588" w:rsidRPr="00037282" w:rsidRDefault="00C87588" w:rsidP="00C87588">
            <w:pPr>
              <w:jc w:val="center"/>
              <w:rPr>
                <w:rFonts w:ascii="Arial" w:eastAsia="Times New Roman" w:hAnsi="Arial"/>
                <w:b/>
                <w:bCs/>
                <w:color w:val="000000"/>
                <w:sz w:val="16"/>
                <w:szCs w:val="16"/>
                <w:lang w:val="en-GB" w:eastAsia="sl-SI"/>
              </w:rPr>
            </w:pPr>
            <w:r w:rsidRPr="00037282">
              <w:rPr>
                <w:rFonts w:ascii="Arial" w:eastAsia="Times New Roman" w:hAnsi="Arial"/>
                <w:b/>
                <w:bCs/>
                <w:color w:val="000000"/>
                <w:sz w:val="16"/>
                <w:szCs w:val="16"/>
                <w:lang w:val="en-GB" w:eastAsia="sl-SI"/>
              </w:rPr>
              <w:t>1</w:t>
            </w:r>
          </w:p>
        </w:tc>
        <w:tc>
          <w:tcPr>
            <w:tcW w:w="851" w:type="dxa"/>
            <w:tcBorders>
              <w:top w:val="dashed" w:sz="8" w:space="0" w:color="auto"/>
              <w:left w:val="nil"/>
              <w:bottom w:val="nil"/>
              <w:right w:val="nil"/>
            </w:tcBorders>
            <w:shd w:val="clear" w:color="auto" w:fill="auto"/>
            <w:noWrap/>
            <w:vAlign w:val="bottom"/>
            <w:hideMark/>
          </w:tcPr>
          <w:p w14:paraId="6596C0CB" w14:textId="77777777" w:rsidR="00C87588" w:rsidRPr="00037282" w:rsidRDefault="00C87588" w:rsidP="00C87588">
            <w:pPr>
              <w:rPr>
                <w:rFonts w:ascii="Arial" w:eastAsia="Times New Roman" w:hAnsi="Arial"/>
                <w:color w:val="000000"/>
                <w:sz w:val="20"/>
                <w:szCs w:val="20"/>
                <w:lang w:val="en-GB" w:eastAsia="sl-SI"/>
              </w:rPr>
            </w:pPr>
          </w:p>
        </w:tc>
        <w:tc>
          <w:tcPr>
            <w:tcW w:w="885" w:type="dxa"/>
            <w:tcBorders>
              <w:top w:val="nil"/>
              <w:left w:val="dashed" w:sz="8" w:space="0" w:color="auto"/>
              <w:bottom w:val="dashed" w:sz="8" w:space="0" w:color="auto"/>
              <w:right w:val="dashed" w:sz="8" w:space="0" w:color="auto"/>
            </w:tcBorders>
          </w:tcPr>
          <w:p w14:paraId="636F1EC2" w14:textId="77777777" w:rsidR="00C87588" w:rsidRPr="00037282" w:rsidRDefault="00C87588" w:rsidP="00C87588">
            <w:pPr>
              <w:jc w:val="center"/>
              <w:rPr>
                <w:rFonts w:ascii="Arial" w:eastAsia="Times New Roman" w:hAnsi="Arial"/>
                <w:color w:val="000000"/>
                <w:sz w:val="16"/>
                <w:szCs w:val="16"/>
                <w:lang w:val="en-GB" w:eastAsia="sl-SI"/>
              </w:rPr>
            </w:pPr>
          </w:p>
        </w:tc>
        <w:tc>
          <w:tcPr>
            <w:tcW w:w="1066" w:type="dxa"/>
            <w:tcBorders>
              <w:top w:val="nil"/>
              <w:left w:val="dashed" w:sz="8" w:space="0" w:color="auto"/>
              <w:bottom w:val="dashed" w:sz="8" w:space="0" w:color="auto"/>
              <w:right w:val="dashed" w:sz="8" w:space="0" w:color="auto"/>
            </w:tcBorders>
            <w:shd w:val="clear" w:color="auto" w:fill="auto"/>
            <w:vAlign w:val="center"/>
            <w:hideMark/>
          </w:tcPr>
          <w:p w14:paraId="38FBF1B6" w14:textId="77777777" w:rsidR="00C87588" w:rsidRPr="00037282" w:rsidRDefault="00C87588" w:rsidP="00C87588">
            <w:pPr>
              <w:jc w:val="center"/>
              <w:rPr>
                <w:rFonts w:ascii="Arial" w:eastAsia="Times New Roman" w:hAnsi="Arial"/>
                <w:color w:val="000000"/>
                <w:sz w:val="16"/>
                <w:szCs w:val="16"/>
                <w:lang w:val="en-GB" w:eastAsia="sl-SI"/>
              </w:rPr>
            </w:pPr>
            <w:r w:rsidRPr="00037282">
              <w:rPr>
                <w:rFonts w:ascii="Arial" w:eastAsia="Times New Roman" w:hAnsi="Arial"/>
                <w:color w:val="000000"/>
                <w:sz w:val="16"/>
                <w:szCs w:val="16"/>
                <w:lang w:val="en-GB" w:eastAsia="sl-SI"/>
              </w:rPr>
              <w:t> </w:t>
            </w:r>
          </w:p>
        </w:tc>
        <w:tc>
          <w:tcPr>
            <w:tcW w:w="955" w:type="dxa"/>
            <w:tcBorders>
              <w:top w:val="nil"/>
              <w:left w:val="nil"/>
              <w:bottom w:val="dashed" w:sz="8" w:space="0" w:color="auto"/>
              <w:right w:val="dashed" w:sz="8" w:space="0" w:color="auto"/>
            </w:tcBorders>
            <w:shd w:val="clear" w:color="auto" w:fill="auto"/>
            <w:vAlign w:val="center"/>
            <w:hideMark/>
          </w:tcPr>
          <w:p w14:paraId="3474A8E9" w14:textId="77777777" w:rsidR="00C87588" w:rsidRPr="00037282" w:rsidRDefault="00C87588" w:rsidP="00C87588">
            <w:pPr>
              <w:jc w:val="center"/>
              <w:rPr>
                <w:rFonts w:ascii="Arial" w:eastAsia="Times New Roman" w:hAnsi="Arial"/>
                <w:color w:val="000000"/>
                <w:sz w:val="16"/>
                <w:szCs w:val="16"/>
                <w:lang w:val="en-GB" w:eastAsia="sl-SI"/>
              </w:rPr>
            </w:pPr>
            <w:r w:rsidRPr="00037282">
              <w:rPr>
                <w:rFonts w:ascii="Arial" w:eastAsia="Times New Roman" w:hAnsi="Arial"/>
                <w:color w:val="000000"/>
                <w:sz w:val="16"/>
                <w:szCs w:val="16"/>
                <w:lang w:val="en-GB" w:eastAsia="sl-SI"/>
              </w:rPr>
              <w:t> </w:t>
            </w:r>
          </w:p>
        </w:tc>
        <w:tc>
          <w:tcPr>
            <w:tcW w:w="1144" w:type="dxa"/>
            <w:tcBorders>
              <w:top w:val="nil"/>
              <w:left w:val="nil"/>
              <w:bottom w:val="dashed" w:sz="8" w:space="0" w:color="auto"/>
              <w:right w:val="dashed" w:sz="8" w:space="0" w:color="auto"/>
            </w:tcBorders>
            <w:shd w:val="clear" w:color="auto" w:fill="auto"/>
            <w:vAlign w:val="center"/>
            <w:hideMark/>
          </w:tcPr>
          <w:p w14:paraId="7A80CBA8" w14:textId="77777777" w:rsidR="00C87588" w:rsidRPr="00037282" w:rsidRDefault="00C87588" w:rsidP="00C87588">
            <w:pPr>
              <w:jc w:val="center"/>
              <w:rPr>
                <w:rFonts w:ascii="Arial" w:eastAsia="Times New Roman" w:hAnsi="Arial"/>
                <w:color w:val="000000"/>
                <w:sz w:val="16"/>
                <w:szCs w:val="16"/>
                <w:lang w:val="en-GB" w:eastAsia="sl-SI"/>
              </w:rPr>
            </w:pPr>
            <w:r w:rsidRPr="00037282">
              <w:rPr>
                <w:rFonts w:ascii="Arial" w:eastAsia="Times New Roman" w:hAnsi="Arial"/>
                <w:color w:val="000000"/>
                <w:sz w:val="16"/>
                <w:szCs w:val="16"/>
                <w:lang w:val="en-GB" w:eastAsia="sl-SI"/>
              </w:rPr>
              <w:t xml:space="preserve">7.000.000 </w:t>
            </w:r>
          </w:p>
        </w:tc>
        <w:tc>
          <w:tcPr>
            <w:tcW w:w="992" w:type="dxa"/>
            <w:tcBorders>
              <w:top w:val="nil"/>
              <w:left w:val="nil"/>
              <w:bottom w:val="dashed" w:sz="8" w:space="0" w:color="auto"/>
              <w:right w:val="single" w:sz="18" w:space="0" w:color="auto"/>
            </w:tcBorders>
            <w:shd w:val="clear" w:color="auto" w:fill="auto"/>
            <w:vAlign w:val="center"/>
            <w:hideMark/>
          </w:tcPr>
          <w:p w14:paraId="3A11E424" w14:textId="77777777" w:rsidR="00C87588" w:rsidRPr="00037282" w:rsidRDefault="00C87588" w:rsidP="00C87588">
            <w:pPr>
              <w:jc w:val="center"/>
              <w:rPr>
                <w:rFonts w:ascii="Arial" w:eastAsia="Times New Roman" w:hAnsi="Arial"/>
                <w:b/>
                <w:bCs/>
                <w:color w:val="000000"/>
                <w:sz w:val="16"/>
                <w:szCs w:val="16"/>
                <w:lang w:val="en-GB" w:eastAsia="sl-SI"/>
              </w:rPr>
            </w:pPr>
            <w:r w:rsidRPr="00037282">
              <w:rPr>
                <w:rFonts w:ascii="Arial" w:eastAsia="Times New Roman" w:hAnsi="Arial"/>
                <w:b/>
                <w:bCs/>
                <w:color w:val="000000"/>
                <w:sz w:val="16"/>
                <w:szCs w:val="16"/>
                <w:lang w:val="en-GB" w:eastAsia="sl-SI"/>
              </w:rPr>
              <w:t xml:space="preserve">7.000.000 </w:t>
            </w:r>
          </w:p>
        </w:tc>
      </w:tr>
      <w:tr w:rsidR="00C87588" w:rsidRPr="00037282" w14:paraId="3D4B96A3" w14:textId="77777777" w:rsidTr="00540860">
        <w:trPr>
          <w:trHeight w:val="315"/>
        </w:trPr>
        <w:tc>
          <w:tcPr>
            <w:tcW w:w="1294" w:type="dxa"/>
            <w:tcBorders>
              <w:top w:val="nil"/>
              <w:left w:val="single" w:sz="12" w:space="0" w:color="auto"/>
              <w:bottom w:val="dashed" w:sz="8" w:space="0" w:color="auto"/>
              <w:right w:val="nil"/>
            </w:tcBorders>
            <w:shd w:val="clear" w:color="auto" w:fill="auto"/>
            <w:vAlign w:val="center"/>
            <w:hideMark/>
          </w:tcPr>
          <w:p w14:paraId="106187AA" w14:textId="77777777" w:rsidR="00C87588" w:rsidRPr="00037282" w:rsidRDefault="00C87588" w:rsidP="00C87588">
            <w:pPr>
              <w:jc w:val="center"/>
              <w:rPr>
                <w:rFonts w:ascii="Arial" w:eastAsia="Times New Roman" w:hAnsi="Arial"/>
                <w:color w:val="000000"/>
                <w:sz w:val="16"/>
                <w:szCs w:val="16"/>
                <w:lang w:val="en-GB" w:eastAsia="sl-SI"/>
              </w:rPr>
            </w:pPr>
            <w:r w:rsidRPr="00240AF6">
              <w:rPr>
                <w:rFonts w:ascii="Arial" w:eastAsia="Times New Roman" w:hAnsi="Arial"/>
                <w:color w:val="000000"/>
                <w:sz w:val="16"/>
                <w:szCs w:val="16"/>
                <w:lang w:eastAsia="sl-SI"/>
              </w:rPr>
              <w:t>Infrastruktura</w:t>
            </w:r>
          </w:p>
        </w:tc>
        <w:tc>
          <w:tcPr>
            <w:tcW w:w="1021" w:type="dxa"/>
            <w:tcBorders>
              <w:top w:val="nil"/>
              <w:left w:val="single" w:sz="12" w:space="0" w:color="auto"/>
              <w:bottom w:val="dashed" w:sz="8" w:space="0" w:color="auto"/>
              <w:right w:val="dashed" w:sz="8" w:space="0" w:color="auto"/>
            </w:tcBorders>
            <w:shd w:val="clear" w:color="auto" w:fill="auto"/>
            <w:vAlign w:val="center"/>
            <w:hideMark/>
          </w:tcPr>
          <w:p w14:paraId="089E4CC5" w14:textId="77777777" w:rsidR="00C87588" w:rsidRPr="00037282" w:rsidRDefault="00C87588" w:rsidP="00C87588">
            <w:pPr>
              <w:jc w:val="center"/>
              <w:rPr>
                <w:rFonts w:ascii="Arial" w:eastAsia="Times New Roman" w:hAnsi="Arial"/>
                <w:b/>
                <w:bCs/>
                <w:color w:val="000000"/>
                <w:sz w:val="16"/>
                <w:szCs w:val="16"/>
                <w:lang w:val="en-GB" w:eastAsia="sl-SI"/>
              </w:rPr>
            </w:pPr>
            <w:r w:rsidRPr="00037282">
              <w:rPr>
                <w:rFonts w:ascii="Arial" w:eastAsia="Times New Roman" w:hAnsi="Arial"/>
                <w:b/>
                <w:bCs/>
                <w:color w:val="000000"/>
                <w:sz w:val="16"/>
                <w:szCs w:val="16"/>
                <w:lang w:val="en-GB" w:eastAsia="sl-SI"/>
              </w:rPr>
              <w:t>6</w:t>
            </w:r>
          </w:p>
        </w:tc>
        <w:tc>
          <w:tcPr>
            <w:tcW w:w="1021" w:type="dxa"/>
            <w:tcBorders>
              <w:top w:val="nil"/>
              <w:left w:val="nil"/>
              <w:bottom w:val="dashed" w:sz="8" w:space="0" w:color="auto"/>
              <w:right w:val="dashed" w:sz="8" w:space="0" w:color="auto"/>
            </w:tcBorders>
            <w:shd w:val="clear" w:color="auto" w:fill="auto"/>
            <w:vAlign w:val="center"/>
            <w:hideMark/>
          </w:tcPr>
          <w:p w14:paraId="3BF3C409" w14:textId="77777777" w:rsidR="00C87588" w:rsidRPr="00037282" w:rsidRDefault="00C87588" w:rsidP="00C87588">
            <w:pPr>
              <w:jc w:val="center"/>
              <w:rPr>
                <w:rFonts w:ascii="Arial" w:eastAsia="Times New Roman" w:hAnsi="Arial"/>
                <w:b/>
                <w:bCs/>
                <w:color w:val="000000"/>
                <w:sz w:val="16"/>
                <w:szCs w:val="16"/>
                <w:lang w:val="en-GB" w:eastAsia="sl-SI"/>
              </w:rPr>
            </w:pPr>
            <w:r w:rsidRPr="00037282">
              <w:rPr>
                <w:rFonts w:ascii="Arial" w:eastAsia="Times New Roman" w:hAnsi="Arial"/>
                <w:b/>
                <w:bCs/>
                <w:color w:val="000000"/>
                <w:sz w:val="16"/>
                <w:szCs w:val="16"/>
                <w:lang w:val="en-GB" w:eastAsia="sl-SI"/>
              </w:rPr>
              <w:t>1</w:t>
            </w:r>
          </w:p>
        </w:tc>
        <w:tc>
          <w:tcPr>
            <w:tcW w:w="851" w:type="dxa"/>
            <w:tcBorders>
              <w:top w:val="dashed" w:sz="8" w:space="0" w:color="auto"/>
              <w:left w:val="nil"/>
              <w:bottom w:val="dashed" w:sz="8" w:space="0" w:color="auto"/>
              <w:right w:val="dashed" w:sz="8" w:space="0" w:color="auto"/>
            </w:tcBorders>
            <w:shd w:val="clear" w:color="auto" w:fill="auto"/>
            <w:vAlign w:val="center"/>
            <w:hideMark/>
          </w:tcPr>
          <w:p w14:paraId="11B45607" w14:textId="77777777" w:rsidR="00C87588" w:rsidRPr="00037282" w:rsidRDefault="00C87588" w:rsidP="00C87588">
            <w:pPr>
              <w:jc w:val="center"/>
              <w:rPr>
                <w:rFonts w:ascii="Arial" w:eastAsia="Times New Roman" w:hAnsi="Arial"/>
                <w:color w:val="000000"/>
                <w:sz w:val="16"/>
                <w:szCs w:val="16"/>
                <w:lang w:val="en-GB" w:eastAsia="sl-SI"/>
              </w:rPr>
            </w:pPr>
          </w:p>
        </w:tc>
        <w:tc>
          <w:tcPr>
            <w:tcW w:w="885" w:type="dxa"/>
            <w:tcBorders>
              <w:top w:val="nil"/>
              <w:left w:val="nil"/>
              <w:bottom w:val="dashed" w:sz="8" w:space="0" w:color="auto"/>
              <w:right w:val="dashed" w:sz="8" w:space="0" w:color="auto"/>
            </w:tcBorders>
          </w:tcPr>
          <w:p w14:paraId="4E550C54" w14:textId="77777777" w:rsidR="00C87588" w:rsidRPr="00037282" w:rsidRDefault="00C87588" w:rsidP="00C87588">
            <w:pPr>
              <w:jc w:val="center"/>
              <w:rPr>
                <w:rFonts w:ascii="Arial" w:eastAsia="Times New Roman" w:hAnsi="Arial"/>
                <w:color w:val="000000"/>
                <w:sz w:val="16"/>
                <w:szCs w:val="16"/>
                <w:lang w:val="en-GB" w:eastAsia="sl-SI"/>
              </w:rPr>
            </w:pPr>
          </w:p>
        </w:tc>
        <w:tc>
          <w:tcPr>
            <w:tcW w:w="1066" w:type="dxa"/>
            <w:tcBorders>
              <w:top w:val="nil"/>
              <w:left w:val="dashed" w:sz="8" w:space="0" w:color="auto"/>
              <w:bottom w:val="dashed" w:sz="8" w:space="0" w:color="auto"/>
              <w:right w:val="dashed" w:sz="8" w:space="0" w:color="auto"/>
            </w:tcBorders>
            <w:shd w:val="clear" w:color="auto" w:fill="auto"/>
            <w:vAlign w:val="center"/>
            <w:hideMark/>
          </w:tcPr>
          <w:p w14:paraId="2FC6DECA" w14:textId="77777777" w:rsidR="00C87588" w:rsidRPr="00037282" w:rsidRDefault="00C87588" w:rsidP="00C87588">
            <w:pPr>
              <w:jc w:val="center"/>
              <w:rPr>
                <w:rFonts w:ascii="Arial" w:eastAsia="Times New Roman" w:hAnsi="Arial"/>
                <w:color w:val="000000"/>
                <w:sz w:val="16"/>
                <w:szCs w:val="16"/>
                <w:lang w:val="en-GB" w:eastAsia="sl-SI"/>
              </w:rPr>
            </w:pPr>
            <w:r w:rsidRPr="00037282">
              <w:rPr>
                <w:rFonts w:ascii="Arial" w:eastAsia="Times New Roman" w:hAnsi="Arial"/>
                <w:color w:val="000000"/>
                <w:sz w:val="16"/>
                <w:szCs w:val="16"/>
                <w:lang w:val="en-GB" w:eastAsia="sl-SI"/>
              </w:rPr>
              <w:t>14.292.464</w:t>
            </w:r>
          </w:p>
        </w:tc>
        <w:tc>
          <w:tcPr>
            <w:tcW w:w="955" w:type="dxa"/>
            <w:tcBorders>
              <w:top w:val="nil"/>
              <w:left w:val="nil"/>
              <w:bottom w:val="dashed" w:sz="8" w:space="0" w:color="auto"/>
              <w:right w:val="dashed" w:sz="8" w:space="0" w:color="auto"/>
            </w:tcBorders>
            <w:shd w:val="clear" w:color="auto" w:fill="auto"/>
            <w:vAlign w:val="center"/>
            <w:hideMark/>
          </w:tcPr>
          <w:p w14:paraId="7B5DB0EA" w14:textId="77777777" w:rsidR="00C87588" w:rsidRPr="00037282" w:rsidRDefault="00C87588" w:rsidP="00C87588">
            <w:pPr>
              <w:jc w:val="center"/>
              <w:rPr>
                <w:rFonts w:ascii="Arial" w:eastAsia="Times New Roman" w:hAnsi="Arial"/>
                <w:color w:val="000000"/>
                <w:sz w:val="16"/>
                <w:szCs w:val="16"/>
                <w:lang w:val="en-GB" w:eastAsia="sl-SI"/>
              </w:rPr>
            </w:pPr>
            <w:r w:rsidRPr="00037282">
              <w:rPr>
                <w:rFonts w:ascii="Arial" w:eastAsia="Times New Roman" w:hAnsi="Arial"/>
                <w:color w:val="000000"/>
                <w:sz w:val="16"/>
                <w:szCs w:val="16"/>
                <w:lang w:val="en-GB" w:eastAsia="sl-SI"/>
              </w:rPr>
              <w:t> </w:t>
            </w:r>
          </w:p>
        </w:tc>
        <w:tc>
          <w:tcPr>
            <w:tcW w:w="1144" w:type="dxa"/>
            <w:tcBorders>
              <w:top w:val="nil"/>
              <w:left w:val="nil"/>
              <w:bottom w:val="dashed" w:sz="8" w:space="0" w:color="auto"/>
              <w:right w:val="dashed" w:sz="8" w:space="0" w:color="auto"/>
            </w:tcBorders>
            <w:shd w:val="clear" w:color="auto" w:fill="auto"/>
            <w:vAlign w:val="center"/>
            <w:hideMark/>
          </w:tcPr>
          <w:p w14:paraId="5458F06D" w14:textId="77777777" w:rsidR="00C87588" w:rsidRPr="00037282" w:rsidRDefault="00C87588" w:rsidP="00C87588">
            <w:pPr>
              <w:jc w:val="center"/>
              <w:rPr>
                <w:rFonts w:ascii="Arial" w:eastAsia="Times New Roman" w:hAnsi="Arial"/>
                <w:color w:val="000000"/>
                <w:sz w:val="16"/>
                <w:szCs w:val="16"/>
                <w:lang w:val="en-GB" w:eastAsia="sl-SI"/>
              </w:rPr>
            </w:pPr>
            <w:r w:rsidRPr="00037282">
              <w:rPr>
                <w:rFonts w:ascii="Arial" w:eastAsia="Times New Roman" w:hAnsi="Arial"/>
                <w:color w:val="000000"/>
                <w:sz w:val="16"/>
                <w:szCs w:val="16"/>
                <w:lang w:val="en-GB" w:eastAsia="sl-SI"/>
              </w:rPr>
              <w:t xml:space="preserve">11.676.532 </w:t>
            </w:r>
          </w:p>
        </w:tc>
        <w:tc>
          <w:tcPr>
            <w:tcW w:w="992" w:type="dxa"/>
            <w:tcBorders>
              <w:top w:val="nil"/>
              <w:left w:val="nil"/>
              <w:bottom w:val="single" w:sz="4" w:space="0" w:color="auto"/>
              <w:right w:val="single" w:sz="18" w:space="0" w:color="auto"/>
            </w:tcBorders>
            <w:shd w:val="clear" w:color="auto" w:fill="auto"/>
            <w:vAlign w:val="center"/>
            <w:hideMark/>
          </w:tcPr>
          <w:p w14:paraId="730C6355" w14:textId="77777777" w:rsidR="00C87588" w:rsidRPr="00037282" w:rsidRDefault="00C87588" w:rsidP="00C87588">
            <w:pPr>
              <w:jc w:val="center"/>
              <w:rPr>
                <w:rFonts w:ascii="Arial" w:eastAsia="Times New Roman" w:hAnsi="Arial"/>
                <w:b/>
                <w:bCs/>
                <w:color w:val="000000"/>
                <w:sz w:val="16"/>
                <w:szCs w:val="16"/>
                <w:lang w:val="en-GB" w:eastAsia="sl-SI"/>
              </w:rPr>
            </w:pPr>
            <w:r w:rsidRPr="00037282">
              <w:rPr>
                <w:rFonts w:ascii="Arial" w:eastAsia="Times New Roman" w:hAnsi="Arial"/>
                <w:b/>
                <w:bCs/>
                <w:color w:val="000000"/>
                <w:sz w:val="16"/>
                <w:szCs w:val="16"/>
                <w:lang w:val="en-GB" w:eastAsia="sl-SI"/>
              </w:rPr>
              <w:t xml:space="preserve">25.968.996 </w:t>
            </w:r>
          </w:p>
        </w:tc>
      </w:tr>
      <w:tr w:rsidR="00C87588" w:rsidRPr="00037282" w14:paraId="2857C2B4" w14:textId="77777777" w:rsidTr="00540860">
        <w:trPr>
          <w:trHeight w:val="315"/>
        </w:trPr>
        <w:tc>
          <w:tcPr>
            <w:tcW w:w="1294" w:type="dxa"/>
            <w:tcBorders>
              <w:top w:val="nil"/>
              <w:left w:val="single" w:sz="12" w:space="0" w:color="auto"/>
              <w:bottom w:val="dashed" w:sz="8" w:space="0" w:color="auto"/>
              <w:right w:val="nil"/>
            </w:tcBorders>
            <w:shd w:val="clear" w:color="auto" w:fill="auto"/>
            <w:vAlign w:val="center"/>
          </w:tcPr>
          <w:p w14:paraId="17DEAE21" w14:textId="77777777" w:rsidR="00C87588" w:rsidRDefault="00C87588" w:rsidP="00C87588">
            <w:pPr>
              <w:jc w:val="center"/>
              <w:rPr>
                <w:rFonts w:ascii="Arial" w:eastAsia="Times New Roman" w:hAnsi="Arial"/>
                <w:color w:val="000000"/>
                <w:sz w:val="16"/>
                <w:szCs w:val="16"/>
                <w:lang w:val="en-GB" w:eastAsia="sl-SI"/>
              </w:rPr>
            </w:pPr>
            <w:r w:rsidRPr="00240AF6">
              <w:rPr>
                <w:rFonts w:ascii="Arial" w:eastAsia="Times New Roman" w:hAnsi="Arial"/>
                <w:color w:val="000000"/>
                <w:sz w:val="16"/>
                <w:szCs w:val="16"/>
                <w:lang w:eastAsia="sl-SI"/>
              </w:rPr>
              <w:t>Človeški viri</w:t>
            </w:r>
          </w:p>
        </w:tc>
        <w:tc>
          <w:tcPr>
            <w:tcW w:w="1021" w:type="dxa"/>
            <w:tcBorders>
              <w:top w:val="nil"/>
              <w:left w:val="single" w:sz="12" w:space="0" w:color="auto"/>
              <w:bottom w:val="dashed" w:sz="8" w:space="0" w:color="auto"/>
              <w:right w:val="dashed" w:sz="8" w:space="0" w:color="auto"/>
            </w:tcBorders>
            <w:shd w:val="clear" w:color="auto" w:fill="auto"/>
            <w:vAlign w:val="center"/>
          </w:tcPr>
          <w:p w14:paraId="54CAE355" w14:textId="77777777" w:rsidR="00C87588" w:rsidRPr="00037282" w:rsidRDefault="00C87588" w:rsidP="00C87588">
            <w:pPr>
              <w:jc w:val="center"/>
              <w:rPr>
                <w:rFonts w:ascii="Arial" w:eastAsia="Times New Roman" w:hAnsi="Arial"/>
                <w:b/>
                <w:bCs/>
                <w:color w:val="000000"/>
                <w:sz w:val="16"/>
                <w:szCs w:val="16"/>
                <w:lang w:val="en-GB" w:eastAsia="sl-SI"/>
              </w:rPr>
            </w:pPr>
            <w:r>
              <w:rPr>
                <w:rFonts w:ascii="Arial" w:eastAsia="Times New Roman" w:hAnsi="Arial"/>
                <w:b/>
                <w:bCs/>
                <w:color w:val="000000"/>
                <w:sz w:val="16"/>
                <w:szCs w:val="16"/>
                <w:lang w:val="en-GB" w:eastAsia="sl-SI"/>
              </w:rPr>
              <w:t>8</w:t>
            </w:r>
          </w:p>
        </w:tc>
        <w:tc>
          <w:tcPr>
            <w:tcW w:w="1021" w:type="dxa"/>
            <w:tcBorders>
              <w:top w:val="nil"/>
              <w:left w:val="nil"/>
              <w:bottom w:val="dashed" w:sz="8" w:space="0" w:color="auto"/>
              <w:right w:val="dashed" w:sz="8" w:space="0" w:color="auto"/>
            </w:tcBorders>
            <w:shd w:val="clear" w:color="auto" w:fill="auto"/>
            <w:vAlign w:val="center"/>
          </w:tcPr>
          <w:p w14:paraId="06800854" w14:textId="77777777" w:rsidR="00C87588" w:rsidRPr="00037282" w:rsidRDefault="00C87588" w:rsidP="00C87588">
            <w:pPr>
              <w:jc w:val="center"/>
              <w:rPr>
                <w:rFonts w:ascii="Arial" w:eastAsia="Times New Roman" w:hAnsi="Arial"/>
                <w:b/>
                <w:bCs/>
                <w:color w:val="000000"/>
                <w:sz w:val="16"/>
                <w:szCs w:val="16"/>
                <w:lang w:val="en-GB" w:eastAsia="sl-SI"/>
              </w:rPr>
            </w:pPr>
            <w:r>
              <w:rPr>
                <w:rFonts w:ascii="Arial" w:eastAsia="Times New Roman" w:hAnsi="Arial"/>
                <w:b/>
                <w:bCs/>
                <w:color w:val="000000"/>
                <w:sz w:val="16"/>
                <w:szCs w:val="16"/>
                <w:lang w:val="en-GB" w:eastAsia="sl-SI"/>
              </w:rPr>
              <w:t>3</w:t>
            </w:r>
          </w:p>
        </w:tc>
        <w:tc>
          <w:tcPr>
            <w:tcW w:w="851" w:type="dxa"/>
            <w:tcBorders>
              <w:top w:val="nil"/>
              <w:left w:val="nil"/>
              <w:bottom w:val="dashed" w:sz="8" w:space="0" w:color="auto"/>
              <w:right w:val="dashed" w:sz="8" w:space="0" w:color="auto"/>
            </w:tcBorders>
            <w:shd w:val="clear" w:color="auto" w:fill="auto"/>
            <w:vAlign w:val="center"/>
          </w:tcPr>
          <w:p w14:paraId="78CC26D3" w14:textId="77777777" w:rsidR="00C87588" w:rsidRPr="00037282" w:rsidRDefault="00C87588" w:rsidP="00C87588">
            <w:pPr>
              <w:rPr>
                <w:rFonts w:ascii="Arial" w:eastAsia="Times New Roman" w:hAnsi="Arial"/>
                <w:color w:val="000000"/>
                <w:sz w:val="16"/>
                <w:szCs w:val="16"/>
                <w:lang w:val="en-GB" w:eastAsia="sl-SI"/>
              </w:rPr>
            </w:pPr>
          </w:p>
        </w:tc>
        <w:tc>
          <w:tcPr>
            <w:tcW w:w="885" w:type="dxa"/>
            <w:tcBorders>
              <w:top w:val="nil"/>
              <w:left w:val="nil"/>
              <w:bottom w:val="dashed" w:sz="8" w:space="0" w:color="auto"/>
              <w:right w:val="dashed" w:sz="8" w:space="0" w:color="auto"/>
            </w:tcBorders>
          </w:tcPr>
          <w:p w14:paraId="4AFA6237" w14:textId="77777777" w:rsidR="00C87588" w:rsidRPr="00037282" w:rsidRDefault="00C87588" w:rsidP="00C87588">
            <w:pPr>
              <w:jc w:val="center"/>
              <w:rPr>
                <w:rFonts w:ascii="Arial" w:eastAsia="Times New Roman" w:hAnsi="Arial"/>
                <w:color w:val="000000"/>
                <w:sz w:val="16"/>
                <w:szCs w:val="16"/>
                <w:lang w:val="en-GB" w:eastAsia="sl-SI"/>
              </w:rPr>
            </w:pPr>
          </w:p>
        </w:tc>
        <w:tc>
          <w:tcPr>
            <w:tcW w:w="1066" w:type="dxa"/>
            <w:tcBorders>
              <w:top w:val="nil"/>
              <w:left w:val="dashed" w:sz="8" w:space="0" w:color="auto"/>
              <w:bottom w:val="dashed" w:sz="8" w:space="0" w:color="auto"/>
              <w:right w:val="dashed" w:sz="8" w:space="0" w:color="auto"/>
            </w:tcBorders>
            <w:shd w:val="clear" w:color="auto" w:fill="auto"/>
            <w:vAlign w:val="center"/>
          </w:tcPr>
          <w:p w14:paraId="0296B1AC" w14:textId="77777777" w:rsidR="00C87588" w:rsidRPr="00037282" w:rsidRDefault="00C87588" w:rsidP="00C87588">
            <w:pPr>
              <w:jc w:val="center"/>
              <w:rPr>
                <w:rFonts w:ascii="Arial" w:eastAsia="Times New Roman" w:hAnsi="Arial"/>
                <w:color w:val="000000"/>
                <w:sz w:val="16"/>
                <w:szCs w:val="16"/>
                <w:lang w:val="en-GB" w:eastAsia="sl-SI"/>
              </w:rPr>
            </w:pPr>
          </w:p>
        </w:tc>
        <w:tc>
          <w:tcPr>
            <w:tcW w:w="955" w:type="dxa"/>
            <w:tcBorders>
              <w:left w:val="nil"/>
              <w:right w:val="dashed" w:sz="8" w:space="0" w:color="auto"/>
            </w:tcBorders>
            <w:shd w:val="clear" w:color="auto" w:fill="auto"/>
            <w:vAlign w:val="center"/>
          </w:tcPr>
          <w:p w14:paraId="6A2AD738" w14:textId="77777777" w:rsidR="00C87588" w:rsidRPr="00037282" w:rsidRDefault="00C87588" w:rsidP="00C87588">
            <w:pPr>
              <w:jc w:val="center"/>
              <w:rPr>
                <w:rFonts w:ascii="Arial" w:eastAsia="Times New Roman" w:hAnsi="Arial"/>
                <w:color w:val="000000"/>
                <w:sz w:val="16"/>
                <w:szCs w:val="16"/>
                <w:lang w:val="en-GB" w:eastAsia="sl-SI"/>
              </w:rPr>
            </w:pPr>
            <w:r>
              <w:rPr>
                <w:rFonts w:ascii="Arial" w:eastAsia="Times New Roman" w:hAnsi="Arial"/>
                <w:color w:val="000000"/>
                <w:sz w:val="16"/>
                <w:szCs w:val="16"/>
                <w:lang w:val="en-GB" w:eastAsia="sl-SI"/>
              </w:rPr>
              <w:t>3.000.000</w:t>
            </w:r>
          </w:p>
        </w:tc>
        <w:tc>
          <w:tcPr>
            <w:tcW w:w="1144" w:type="dxa"/>
            <w:tcBorders>
              <w:top w:val="nil"/>
              <w:left w:val="nil"/>
              <w:bottom w:val="dashed" w:sz="8" w:space="0" w:color="auto"/>
              <w:right w:val="single" w:sz="4" w:space="0" w:color="auto"/>
            </w:tcBorders>
            <w:shd w:val="clear" w:color="auto" w:fill="auto"/>
            <w:vAlign w:val="center"/>
          </w:tcPr>
          <w:p w14:paraId="088F60FB" w14:textId="77777777" w:rsidR="00C87588" w:rsidRPr="00037282" w:rsidRDefault="00C87588" w:rsidP="00C87588">
            <w:pPr>
              <w:jc w:val="center"/>
              <w:rPr>
                <w:rFonts w:ascii="Arial" w:eastAsia="Times New Roman" w:hAnsi="Arial"/>
                <w:color w:val="000000"/>
                <w:sz w:val="16"/>
                <w:szCs w:val="16"/>
                <w:lang w:val="en-GB" w:eastAsia="sl-SI"/>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F883B4C" w14:textId="77777777" w:rsidR="00C87588" w:rsidRPr="00037282" w:rsidRDefault="00C87588" w:rsidP="00C87588">
            <w:pPr>
              <w:jc w:val="center"/>
              <w:rPr>
                <w:rFonts w:ascii="Arial" w:eastAsia="Times New Roman" w:hAnsi="Arial"/>
                <w:b/>
                <w:color w:val="000000"/>
                <w:sz w:val="16"/>
                <w:szCs w:val="16"/>
                <w:lang w:val="en-GB" w:eastAsia="sl-SI"/>
              </w:rPr>
            </w:pPr>
            <w:r>
              <w:rPr>
                <w:rFonts w:ascii="Arial" w:eastAsia="Times New Roman" w:hAnsi="Arial"/>
                <w:b/>
                <w:color w:val="000000"/>
                <w:sz w:val="16"/>
                <w:szCs w:val="16"/>
                <w:lang w:val="en-GB" w:eastAsia="sl-SI"/>
              </w:rPr>
              <w:t>3.000.000</w:t>
            </w:r>
          </w:p>
        </w:tc>
      </w:tr>
      <w:tr w:rsidR="00C87588" w:rsidRPr="00037282" w14:paraId="1D3C9B0C" w14:textId="77777777" w:rsidTr="00540860">
        <w:trPr>
          <w:trHeight w:val="315"/>
        </w:trPr>
        <w:tc>
          <w:tcPr>
            <w:tcW w:w="1294" w:type="dxa"/>
            <w:tcBorders>
              <w:top w:val="nil"/>
              <w:left w:val="single" w:sz="12" w:space="0" w:color="auto"/>
              <w:bottom w:val="dashed" w:sz="8" w:space="0" w:color="auto"/>
              <w:right w:val="nil"/>
            </w:tcBorders>
            <w:shd w:val="clear" w:color="auto" w:fill="auto"/>
            <w:vAlign w:val="center"/>
            <w:hideMark/>
          </w:tcPr>
          <w:p w14:paraId="49D5430A" w14:textId="77777777" w:rsidR="00C87588" w:rsidRPr="00037282" w:rsidRDefault="00C87588" w:rsidP="00C87588">
            <w:pPr>
              <w:jc w:val="center"/>
              <w:rPr>
                <w:rFonts w:ascii="Arial" w:eastAsia="Times New Roman" w:hAnsi="Arial"/>
                <w:color w:val="000000"/>
                <w:sz w:val="16"/>
                <w:szCs w:val="16"/>
                <w:lang w:val="en-GB" w:eastAsia="sl-SI"/>
              </w:rPr>
            </w:pPr>
            <w:r w:rsidRPr="00240AF6">
              <w:rPr>
                <w:rFonts w:ascii="Arial" w:eastAsia="Times New Roman" w:hAnsi="Arial"/>
                <w:color w:val="000000"/>
                <w:sz w:val="16"/>
                <w:szCs w:val="16"/>
                <w:lang w:eastAsia="sl-SI"/>
              </w:rPr>
              <w:t>Človeški viri</w:t>
            </w:r>
          </w:p>
        </w:tc>
        <w:tc>
          <w:tcPr>
            <w:tcW w:w="1021" w:type="dxa"/>
            <w:tcBorders>
              <w:top w:val="nil"/>
              <w:left w:val="single" w:sz="12" w:space="0" w:color="auto"/>
              <w:bottom w:val="dashed" w:sz="8" w:space="0" w:color="auto"/>
              <w:right w:val="dashed" w:sz="8" w:space="0" w:color="auto"/>
            </w:tcBorders>
            <w:shd w:val="clear" w:color="auto" w:fill="auto"/>
            <w:vAlign w:val="center"/>
            <w:hideMark/>
          </w:tcPr>
          <w:p w14:paraId="1579B3B2" w14:textId="77777777" w:rsidR="00C87588" w:rsidRPr="00037282" w:rsidRDefault="00C87588" w:rsidP="00C87588">
            <w:pPr>
              <w:jc w:val="center"/>
              <w:rPr>
                <w:rFonts w:ascii="Arial" w:eastAsia="Times New Roman" w:hAnsi="Arial"/>
                <w:b/>
                <w:bCs/>
                <w:color w:val="000000"/>
                <w:sz w:val="16"/>
                <w:szCs w:val="16"/>
                <w:lang w:val="en-GB" w:eastAsia="sl-SI"/>
              </w:rPr>
            </w:pPr>
            <w:r w:rsidRPr="00037282">
              <w:rPr>
                <w:rFonts w:ascii="Arial" w:eastAsia="Times New Roman" w:hAnsi="Arial"/>
                <w:b/>
                <w:bCs/>
                <w:color w:val="000000"/>
                <w:sz w:val="16"/>
                <w:szCs w:val="16"/>
                <w:lang w:val="en-GB" w:eastAsia="sl-SI"/>
              </w:rPr>
              <w:t>9</w:t>
            </w:r>
          </w:p>
        </w:tc>
        <w:tc>
          <w:tcPr>
            <w:tcW w:w="1021" w:type="dxa"/>
            <w:tcBorders>
              <w:top w:val="nil"/>
              <w:left w:val="nil"/>
              <w:bottom w:val="dashed" w:sz="8" w:space="0" w:color="auto"/>
              <w:right w:val="dashed" w:sz="8" w:space="0" w:color="auto"/>
            </w:tcBorders>
            <w:shd w:val="clear" w:color="auto" w:fill="auto"/>
            <w:vAlign w:val="center"/>
            <w:hideMark/>
          </w:tcPr>
          <w:p w14:paraId="78EF7E11" w14:textId="77777777" w:rsidR="00C87588" w:rsidRPr="00037282" w:rsidRDefault="00C87588" w:rsidP="00C87588">
            <w:pPr>
              <w:jc w:val="center"/>
              <w:rPr>
                <w:rFonts w:ascii="Arial" w:eastAsia="Times New Roman" w:hAnsi="Arial"/>
                <w:b/>
                <w:bCs/>
                <w:color w:val="000000"/>
                <w:sz w:val="16"/>
                <w:szCs w:val="16"/>
                <w:lang w:val="en-GB" w:eastAsia="sl-SI"/>
              </w:rPr>
            </w:pPr>
            <w:r w:rsidRPr="00037282">
              <w:rPr>
                <w:rFonts w:ascii="Arial" w:eastAsia="Times New Roman" w:hAnsi="Arial"/>
                <w:b/>
                <w:bCs/>
                <w:color w:val="000000"/>
                <w:sz w:val="16"/>
                <w:szCs w:val="16"/>
                <w:lang w:val="en-GB" w:eastAsia="sl-SI"/>
              </w:rPr>
              <w:t>2</w:t>
            </w:r>
          </w:p>
        </w:tc>
        <w:tc>
          <w:tcPr>
            <w:tcW w:w="851" w:type="dxa"/>
            <w:tcBorders>
              <w:top w:val="nil"/>
              <w:left w:val="nil"/>
              <w:bottom w:val="dashed" w:sz="8" w:space="0" w:color="auto"/>
              <w:right w:val="dashed" w:sz="8" w:space="0" w:color="auto"/>
            </w:tcBorders>
            <w:shd w:val="clear" w:color="auto" w:fill="auto"/>
            <w:vAlign w:val="center"/>
          </w:tcPr>
          <w:p w14:paraId="16C43A2E" w14:textId="77777777" w:rsidR="00C87588" w:rsidRPr="00037282" w:rsidRDefault="00C87588" w:rsidP="00C87588">
            <w:pPr>
              <w:rPr>
                <w:rFonts w:ascii="Arial" w:eastAsia="Times New Roman" w:hAnsi="Arial"/>
                <w:color w:val="000000"/>
                <w:sz w:val="16"/>
                <w:szCs w:val="16"/>
                <w:lang w:val="en-GB" w:eastAsia="sl-SI"/>
              </w:rPr>
            </w:pPr>
          </w:p>
        </w:tc>
        <w:tc>
          <w:tcPr>
            <w:tcW w:w="885" w:type="dxa"/>
            <w:tcBorders>
              <w:top w:val="nil"/>
              <w:left w:val="nil"/>
              <w:bottom w:val="dashed" w:sz="8" w:space="0" w:color="auto"/>
              <w:right w:val="dashed" w:sz="8" w:space="0" w:color="auto"/>
            </w:tcBorders>
          </w:tcPr>
          <w:p w14:paraId="00F8AEB0" w14:textId="77777777" w:rsidR="00C87588" w:rsidRPr="00037282" w:rsidRDefault="00C87588" w:rsidP="00C87588">
            <w:pPr>
              <w:jc w:val="center"/>
              <w:rPr>
                <w:rFonts w:ascii="Arial" w:eastAsia="Times New Roman" w:hAnsi="Arial"/>
                <w:color w:val="000000"/>
                <w:sz w:val="16"/>
                <w:szCs w:val="16"/>
                <w:lang w:val="en-GB" w:eastAsia="sl-SI"/>
              </w:rPr>
            </w:pPr>
          </w:p>
        </w:tc>
        <w:tc>
          <w:tcPr>
            <w:tcW w:w="1066" w:type="dxa"/>
            <w:tcBorders>
              <w:top w:val="nil"/>
              <w:left w:val="dashed" w:sz="8" w:space="0" w:color="auto"/>
              <w:bottom w:val="dashed" w:sz="8" w:space="0" w:color="auto"/>
              <w:right w:val="dashed" w:sz="8" w:space="0" w:color="auto"/>
            </w:tcBorders>
            <w:shd w:val="clear" w:color="auto" w:fill="auto"/>
            <w:vAlign w:val="center"/>
            <w:hideMark/>
          </w:tcPr>
          <w:p w14:paraId="5F523D59" w14:textId="77777777" w:rsidR="00C87588" w:rsidRPr="00037282" w:rsidRDefault="00C87588" w:rsidP="00C87588">
            <w:pPr>
              <w:jc w:val="center"/>
              <w:rPr>
                <w:rFonts w:ascii="Arial" w:eastAsia="Times New Roman" w:hAnsi="Arial"/>
                <w:color w:val="000000"/>
                <w:sz w:val="16"/>
                <w:szCs w:val="16"/>
                <w:lang w:val="en-GB" w:eastAsia="sl-SI"/>
              </w:rPr>
            </w:pPr>
            <w:r w:rsidRPr="00037282">
              <w:rPr>
                <w:rFonts w:ascii="Arial" w:eastAsia="Times New Roman" w:hAnsi="Arial"/>
                <w:color w:val="000000"/>
                <w:sz w:val="16"/>
                <w:szCs w:val="16"/>
                <w:lang w:val="en-GB" w:eastAsia="sl-SI"/>
              </w:rPr>
              <w:t> </w:t>
            </w:r>
          </w:p>
        </w:tc>
        <w:tc>
          <w:tcPr>
            <w:tcW w:w="955" w:type="dxa"/>
            <w:tcBorders>
              <w:top w:val="dashed" w:sz="8" w:space="0" w:color="auto"/>
              <w:left w:val="nil"/>
              <w:right w:val="dashed" w:sz="8" w:space="0" w:color="auto"/>
            </w:tcBorders>
            <w:shd w:val="clear" w:color="auto" w:fill="auto"/>
            <w:vAlign w:val="center"/>
            <w:hideMark/>
          </w:tcPr>
          <w:p w14:paraId="71086E00" w14:textId="77777777" w:rsidR="00C87588" w:rsidRPr="00037282" w:rsidRDefault="00C87588" w:rsidP="00C87588">
            <w:pPr>
              <w:jc w:val="center"/>
              <w:rPr>
                <w:rFonts w:ascii="Arial" w:eastAsia="Times New Roman" w:hAnsi="Arial"/>
                <w:color w:val="000000"/>
                <w:sz w:val="16"/>
                <w:szCs w:val="16"/>
                <w:lang w:val="en-GB" w:eastAsia="sl-SI"/>
              </w:rPr>
            </w:pPr>
            <w:r>
              <w:rPr>
                <w:rFonts w:ascii="Arial" w:eastAsia="Times New Roman" w:hAnsi="Arial"/>
                <w:color w:val="000000"/>
                <w:sz w:val="16"/>
                <w:szCs w:val="16"/>
                <w:lang w:val="en-GB" w:eastAsia="sl-SI"/>
              </w:rPr>
              <w:t> 7</w:t>
            </w:r>
            <w:r w:rsidRPr="00037282">
              <w:rPr>
                <w:rFonts w:ascii="Arial" w:eastAsia="Times New Roman" w:hAnsi="Arial"/>
                <w:color w:val="000000"/>
                <w:sz w:val="16"/>
                <w:szCs w:val="16"/>
                <w:lang w:val="en-GB" w:eastAsia="sl-SI"/>
              </w:rPr>
              <w:t>.</w:t>
            </w:r>
            <w:r>
              <w:rPr>
                <w:rFonts w:ascii="Arial" w:eastAsia="Times New Roman" w:hAnsi="Arial"/>
                <w:color w:val="000000"/>
                <w:sz w:val="16"/>
                <w:szCs w:val="16"/>
                <w:lang w:val="en-GB" w:eastAsia="sl-SI"/>
              </w:rPr>
              <w:t>2</w:t>
            </w:r>
            <w:r w:rsidRPr="00037282">
              <w:rPr>
                <w:rFonts w:ascii="Arial" w:eastAsia="Times New Roman" w:hAnsi="Arial"/>
                <w:color w:val="000000"/>
                <w:sz w:val="16"/>
                <w:szCs w:val="16"/>
                <w:lang w:val="en-GB" w:eastAsia="sl-SI"/>
              </w:rPr>
              <w:t>56.161</w:t>
            </w:r>
          </w:p>
        </w:tc>
        <w:tc>
          <w:tcPr>
            <w:tcW w:w="1144" w:type="dxa"/>
            <w:tcBorders>
              <w:top w:val="nil"/>
              <w:left w:val="nil"/>
              <w:bottom w:val="dashed" w:sz="8" w:space="0" w:color="auto"/>
              <w:right w:val="single" w:sz="4" w:space="0" w:color="auto"/>
            </w:tcBorders>
            <w:shd w:val="clear" w:color="auto" w:fill="auto"/>
            <w:vAlign w:val="center"/>
            <w:hideMark/>
          </w:tcPr>
          <w:p w14:paraId="6B70E62A" w14:textId="77777777" w:rsidR="00C87588" w:rsidRPr="00037282" w:rsidRDefault="00C87588" w:rsidP="00C87588">
            <w:pPr>
              <w:jc w:val="center"/>
              <w:rPr>
                <w:rFonts w:ascii="Arial" w:eastAsia="Times New Roman" w:hAnsi="Arial"/>
                <w:color w:val="000000"/>
                <w:sz w:val="16"/>
                <w:szCs w:val="16"/>
                <w:lang w:val="en-GB" w:eastAsia="sl-SI"/>
              </w:rPr>
            </w:pPr>
            <w:r w:rsidRPr="00037282">
              <w:rPr>
                <w:rFonts w:ascii="Arial" w:eastAsia="Times New Roman" w:hAnsi="Arial"/>
                <w:color w:val="000000"/>
                <w:sz w:val="16"/>
                <w:szCs w:val="16"/>
                <w:lang w:val="en-GB" w:eastAsia="sl-SI"/>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53AD650" w14:textId="77777777" w:rsidR="00C87588" w:rsidRPr="00037282" w:rsidRDefault="00C87588" w:rsidP="00C87588">
            <w:pPr>
              <w:jc w:val="center"/>
              <w:rPr>
                <w:rFonts w:ascii="Arial" w:eastAsia="Times New Roman" w:hAnsi="Arial"/>
                <w:b/>
                <w:bCs/>
                <w:color w:val="000000"/>
                <w:sz w:val="16"/>
                <w:szCs w:val="16"/>
                <w:lang w:val="en-GB" w:eastAsia="sl-SI"/>
              </w:rPr>
            </w:pPr>
            <w:r>
              <w:rPr>
                <w:rFonts w:ascii="Arial" w:eastAsia="Times New Roman" w:hAnsi="Arial"/>
                <w:b/>
                <w:color w:val="000000"/>
                <w:sz w:val="16"/>
                <w:szCs w:val="16"/>
                <w:lang w:val="en-GB" w:eastAsia="sl-SI"/>
              </w:rPr>
              <w:t> 7</w:t>
            </w:r>
            <w:r w:rsidRPr="00037282">
              <w:rPr>
                <w:rFonts w:ascii="Arial" w:eastAsia="Times New Roman" w:hAnsi="Arial"/>
                <w:b/>
                <w:color w:val="000000"/>
                <w:sz w:val="16"/>
                <w:szCs w:val="16"/>
                <w:lang w:val="en-GB" w:eastAsia="sl-SI"/>
              </w:rPr>
              <w:t>.</w:t>
            </w:r>
            <w:r>
              <w:rPr>
                <w:rFonts w:ascii="Arial" w:eastAsia="Times New Roman" w:hAnsi="Arial"/>
                <w:b/>
                <w:color w:val="000000"/>
                <w:sz w:val="16"/>
                <w:szCs w:val="16"/>
                <w:lang w:val="en-GB" w:eastAsia="sl-SI"/>
              </w:rPr>
              <w:t>2</w:t>
            </w:r>
            <w:r w:rsidRPr="00037282">
              <w:rPr>
                <w:rFonts w:ascii="Arial" w:eastAsia="Times New Roman" w:hAnsi="Arial"/>
                <w:b/>
                <w:color w:val="000000"/>
                <w:sz w:val="16"/>
                <w:szCs w:val="16"/>
                <w:lang w:val="en-GB" w:eastAsia="sl-SI"/>
              </w:rPr>
              <w:t>56.161</w:t>
            </w:r>
          </w:p>
        </w:tc>
      </w:tr>
      <w:tr w:rsidR="00C87588" w:rsidRPr="00037282" w14:paraId="77BA755C" w14:textId="77777777" w:rsidTr="00540860">
        <w:trPr>
          <w:trHeight w:val="315"/>
        </w:trPr>
        <w:tc>
          <w:tcPr>
            <w:tcW w:w="1294" w:type="dxa"/>
            <w:tcBorders>
              <w:top w:val="nil"/>
              <w:left w:val="single" w:sz="12" w:space="0" w:color="auto"/>
              <w:bottom w:val="dashed" w:sz="8" w:space="0" w:color="auto"/>
              <w:right w:val="nil"/>
            </w:tcBorders>
            <w:shd w:val="clear" w:color="auto" w:fill="auto"/>
            <w:vAlign w:val="center"/>
            <w:hideMark/>
          </w:tcPr>
          <w:p w14:paraId="3914E8FC" w14:textId="77777777" w:rsidR="00C87588" w:rsidRPr="00037282" w:rsidRDefault="00C87588" w:rsidP="00C87588">
            <w:pPr>
              <w:jc w:val="center"/>
              <w:rPr>
                <w:rFonts w:ascii="Arial" w:eastAsia="Times New Roman" w:hAnsi="Arial"/>
                <w:color w:val="000000"/>
                <w:sz w:val="16"/>
                <w:szCs w:val="16"/>
                <w:lang w:val="en-GB" w:eastAsia="sl-SI"/>
              </w:rPr>
            </w:pPr>
            <w:r w:rsidRPr="00240AF6">
              <w:rPr>
                <w:rFonts w:ascii="Arial" w:eastAsia="Times New Roman" w:hAnsi="Arial"/>
                <w:color w:val="000000"/>
                <w:sz w:val="16"/>
                <w:szCs w:val="16"/>
                <w:lang w:eastAsia="sl-SI"/>
              </w:rPr>
              <w:t>Človeški viri</w:t>
            </w:r>
          </w:p>
        </w:tc>
        <w:tc>
          <w:tcPr>
            <w:tcW w:w="1021" w:type="dxa"/>
            <w:tcBorders>
              <w:top w:val="nil"/>
              <w:left w:val="single" w:sz="12" w:space="0" w:color="auto"/>
              <w:bottom w:val="dashed" w:sz="8" w:space="0" w:color="auto"/>
              <w:right w:val="dashed" w:sz="8" w:space="0" w:color="auto"/>
            </w:tcBorders>
            <w:shd w:val="clear" w:color="auto" w:fill="auto"/>
            <w:vAlign w:val="center"/>
            <w:hideMark/>
          </w:tcPr>
          <w:p w14:paraId="723AEC47" w14:textId="77777777" w:rsidR="00C87588" w:rsidRPr="00037282" w:rsidRDefault="00C87588" w:rsidP="00C87588">
            <w:pPr>
              <w:jc w:val="center"/>
              <w:rPr>
                <w:rFonts w:ascii="Arial" w:eastAsia="Times New Roman" w:hAnsi="Arial"/>
                <w:b/>
                <w:bCs/>
                <w:color w:val="000000"/>
                <w:sz w:val="16"/>
                <w:szCs w:val="16"/>
                <w:lang w:val="en-GB" w:eastAsia="sl-SI"/>
              </w:rPr>
            </w:pPr>
            <w:r w:rsidRPr="00037282">
              <w:rPr>
                <w:rFonts w:ascii="Arial" w:eastAsia="Times New Roman" w:hAnsi="Arial"/>
                <w:b/>
                <w:bCs/>
                <w:color w:val="000000"/>
                <w:sz w:val="16"/>
                <w:szCs w:val="16"/>
                <w:lang w:val="en-GB" w:eastAsia="sl-SI"/>
              </w:rPr>
              <w:t>11</w:t>
            </w:r>
          </w:p>
        </w:tc>
        <w:tc>
          <w:tcPr>
            <w:tcW w:w="1021" w:type="dxa"/>
            <w:tcBorders>
              <w:top w:val="nil"/>
              <w:left w:val="nil"/>
              <w:bottom w:val="dashed" w:sz="8" w:space="0" w:color="auto"/>
              <w:right w:val="dashed" w:sz="8" w:space="0" w:color="auto"/>
            </w:tcBorders>
            <w:shd w:val="clear" w:color="auto" w:fill="auto"/>
            <w:vAlign w:val="center"/>
            <w:hideMark/>
          </w:tcPr>
          <w:p w14:paraId="59874CBD" w14:textId="77777777" w:rsidR="00C87588" w:rsidRPr="00037282" w:rsidRDefault="00C87588" w:rsidP="00C87588">
            <w:pPr>
              <w:jc w:val="center"/>
              <w:rPr>
                <w:rFonts w:ascii="Arial" w:eastAsia="Times New Roman" w:hAnsi="Arial"/>
                <w:b/>
                <w:bCs/>
                <w:color w:val="000000"/>
                <w:sz w:val="16"/>
                <w:szCs w:val="16"/>
                <w:lang w:val="en-GB" w:eastAsia="sl-SI"/>
              </w:rPr>
            </w:pPr>
            <w:r w:rsidRPr="00037282">
              <w:rPr>
                <w:rFonts w:ascii="Arial" w:eastAsia="Times New Roman" w:hAnsi="Arial"/>
                <w:b/>
                <w:bCs/>
                <w:color w:val="000000"/>
                <w:sz w:val="16"/>
                <w:szCs w:val="16"/>
                <w:lang w:val="en-GB" w:eastAsia="sl-SI"/>
              </w:rPr>
              <w:t>1</w:t>
            </w:r>
          </w:p>
        </w:tc>
        <w:tc>
          <w:tcPr>
            <w:tcW w:w="851" w:type="dxa"/>
            <w:tcBorders>
              <w:top w:val="nil"/>
              <w:left w:val="nil"/>
              <w:bottom w:val="dashed" w:sz="8" w:space="0" w:color="auto"/>
              <w:right w:val="dashed" w:sz="8" w:space="0" w:color="auto"/>
            </w:tcBorders>
            <w:shd w:val="clear" w:color="auto" w:fill="auto"/>
            <w:vAlign w:val="center"/>
          </w:tcPr>
          <w:p w14:paraId="3697CC8C" w14:textId="77777777" w:rsidR="00C87588" w:rsidRPr="00037282" w:rsidRDefault="00C87588" w:rsidP="00C87588">
            <w:pPr>
              <w:rPr>
                <w:rFonts w:ascii="Arial" w:eastAsia="Times New Roman" w:hAnsi="Arial"/>
                <w:color w:val="000000"/>
                <w:sz w:val="16"/>
                <w:szCs w:val="16"/>
                <w:lang w:val="en-GB" w:eastAsia="sl-SI"/>
              </w:rPr>
            </w:pPr>
          </w:p>
        </w:tc>
        <w:tc>
          <w:tcPr>
            <w:tcW w:w="885" w:type="dxa"/>
            <w:tcBorders>
              <w:top w:val="nil"/>
              <w:left w:val="nil"/>
              <w:bottom w:val="dashed" w:sz="8" w:space="0" w:color="auto"/>
              <w:right w:val="dashed" w:sz="8" w:space="0" w:color="auto"/>
            </w:tcBorders>
          </w:tcPr>
          <w:p w14:paraId="788EE12F" w14:textId="77777777" w:rsidR="00C87588" w:rsidRPr="00037282" w:rsidRDefault="00C87588" w:rsidP="00C87588">
            <w:pPr>
              <w:jc w:val="center"/>
              <w:rPr>
                <w:rFonts w:ascii="Arial" w:eastAsia="Times New Roman" w:hAnsi="Arial"/>
                <w:color w:val="000000"/>
                <w:sz w:val="16"/>
                <w:szCs w:val="16"/>
                <w:lang w:val="en-GB" w:eastAsia="sl-SI"/>
              </w:rPr>
            </w:pPr>
            <w:r>
              <w:rPr>
                <w:rFonts w:ascii="Arial" w:eastAsia="Times New Roman" w:hAnsi="Arial"/>
                <w:color w:val="000000"/>
                <w:sz w:val="16"/>
                <w:szCs w:val="16"/>
                <w:lang w:val="en-GB" w:eastAsia="sl-SI"/>
              </w:rPr>
              <w:t>377.600</w:t>
            </w:r>
          </w:p>
        </w:tc>
        <w:tc>
          <w:tcPr>
            <w:tcW w:w="1066" w:type="dxa"/>
            <w:tcBorders>
              <w:top w:val="nil"/>
              <w:left w:val="dashed" w:sz="8" w:space="0" w:color="auto"/>
              <w:bottom w:val="dashed" w:sz="8" w:space="0" w:color="auto"/>
              <w:right w:val="dashed" w:sz="8" w:space="0" w:color="auto"/>
            </w:tcBorders>
            <w:shd w:val="clear" w:color="auto" w:fill="auto"/>
            <w:vAlign w:val="center"/>
            <w:hideMark/>
          </w:tcPr>
          <w:p w14:paraId="1C61CF79" w14:textId="77777777" w:rsidR="00C87588" w:rsidRPr="00037282" w:rsidRDefault="00C87588" w:rsidP="00C87588">
            <w:pPr>
              <w:jc w:val="center"/>
              <w:rPr>
                <w:rFonts w:ascii="Arial" w:eastAsia="Times New Roman" w:hAnsi="Arial"/>
                <w:color w:val="000000"/>
                <w:sz w:val="16"/>
                <w:szCs w:val="16"/>
                <w:lang w:val="en-GB" w:eastAsia="sl-SI"/>
              </w:rPr>
            </w:pPr>
            <w:r w:rsidRPr="00037282">
              <w:rPr>
                <w:rFonts w:ascii="Arial" w:eastAsia="Times New Roman" w:hAnsi="Arial"/>
                <w:color w:val="000000"/>
                <w:sz w:val="16"/>
                <w:szCs w:val="16"/>
                <w:lang w:val="en-GB" w:eastAsia="sl-SI"/>
              </w:rPr>
              <w:t> </w:t>
            </w:r>
          </w:p>
        </w:tc>
        <w:tc>
          <w:tcPr>
            <w:tcW w:w="955" w:type="dxa"/>
            <w:tcBorders>
              <w:top w:val="dashed" w:sz="8" w:space="0" w:color="auto"/>
              <w:left w:val="nil"/>
              <w:bottom w:val="dashed" w:sz="8" w:space="0" w:color="auto"/>
              <w:right w:val="dashed" w:sz="8" w:space="0" w:color="auto"/>
            </w:tcBorders>
            <w:shd w:val="clear" w:color="auto" w:fill="auto"/>
            <w:vAlign w:val="center"/>
            <w:hideMark/>
          </w:tcPr>
          <w:p w14:paraId="6F61111F" w14:textId="77777777" w:rsidR="00C87588" w:rsidRPr="00037282" w:rsidRDefault="00C87588" w:rsidP="00C87588">
            <w:pPr>
              <w:jc w:val="center"/>
              <w:rPr>
                <w:rFonts w:ascii="Arial" w:eastAsia="Times New Roman" w:hAnsi="Arial"/>
                <w:color w:val="000000"/>
                <w:sz w:val="16"/>
                <w:szCs w:val="16"/>
                <w:lang w:val="en-GB" w:eastAsia="sl-SI"/>
              </w:rPr>
            </w:pPr>
            <w:r w:rsidRPr="00037282">
              <w:rPr>
                <w:rFonts w:ascii="Arial" w:eastAsia="Times New Roman" w:hAnsi="Arial"/>
                <w:color w:val="000000"/>
                <w:sz w:val="16"/>
                <w:szCs w:val="16"/>
                <w:lang w:val="en-GB" w:eastAsia="sl-SI"/>
              </w:rPr>
              <w:t> </w:t>
            </w:r>
            <w:r>
              <w:rPr>
                <w:rFonts w:ascii="Arial" w:eastAsia="Times New Roman" w:hAnsi="Arial"/>
                <w:color w:val="000000"/>
                <w:sz w:val="16"/>
                <w:szCs w:val="16"/>
                <w:lang w:val="en-GB" w:eastAsia="sl-SI"/>
              </w:rPr>
              <w:t>422.400</w:t>
            </w:r>
          </w:p>
        </w:tc>
        <w:tc>
          <w:tcPr>
            <w:tcW w:w="1144" w:type="dxa"/>
            <w:tcBorders>
              <w:top w:val="nil"/>
              <w:left w:val="nil"/>
              <w:bottom w:val="dashed" w:sz="8" w:space="0" w:color="auto"/>
              <w:right w:val="dashed" w:sz="8" w:space="0" w:color="auto"/>
            </w:tcBorders>
            <w:shd w:val="clear" w:color="auto" w:fill="auto"/>
            <w:vAlign w:val="center"/>
            <w:hideMark/>
          </w:tcPr>
          <w:p w14:paraId="79DACCFE" w14:textId="77777777" w:rsidR="00C87588" w:rsidRPr="00037282" w:rsidRDefault="00C87588" w:rsidP="00C87588">
            <w:pPr>
              <w:jc w:val="center"/>
              <w:rPr>
                <w:rFonts w:ascii="Arial" w:eastAsia="Times New Roman" w:hAnsi="Arial"/>
                <w:color w:val="000000"/>
                <w:sz w:val="16"/>
                <w:szCs w:val="16"/>
                <w:lang w:val="en-GB" w:eastAsia="sl-SI"/>
              </w:rPr>
            </w:pPr>
            <w:r w:rsidRPr="00037282">
              <w:rPr>
                <w:rFonts w:ascii="Arial" w:eastAsia="Times New Roman" w:hAnsi="Arial"/>
                <w:color w:val="000000"/>
                <w:sz w:val="16"/>
                <w:szCs w:val="16"/>
                <w:lang w:val="en-GB" w:eastAsia="sl-SI"/>
              </w:rPr>
              <w:t> </w:t>
            </w:r>
          </w:p>
        </w:tc>
        <w:tc>
          <w:tcPr>
            <w:tcW w:w="992" w:type="dxa"/>
            <w:tcBorders>
              <w:top w:val="single" w:sz="4" w:space="0" w:color="auto"/>
              <w:left w:val="nil"/>
              <w:bottom w:val="dashed" w:sz="8" w:space="0" w:color="auto"/>
              <w:right w:val="single" w:sz="18" w:space="0" w:color="auto"/>
            </w:tcBorders>
            <w:shd w:val="clear" w:color="auto" w:fill="auto"/>
            <w:vAlign w:val="center"/>
          </w:tcPr>
          <w:p w14:paraId="59F71A58" w14:textId="77777777" w:rsidR="00C87588" w:rsidRPr="00037282" w:rsidRDefault="00C87588" w:rsidP="00C87588">
            <w:pPr>
              <w:jc w:val="center"/>
              <w:rPr>
                <w:rFonts w:ascii="Arial" w:eastAsia="Times New Roman" w:hAnsi="Arial"/>
                <w:b/>
                <w:bCs/>
                <w:color w:val="000000"/>
                <w:sz w:val="16"/>
                <w:szCs w:val="16"/>
                <w:lang w:val="en-GB" w:eastAsia="sl-SI"/>
              </w:rPr>
            </w:pPr>
            <w:r w:rsidRPr="00037282">
              <w:rPr>
                <w:rFonts w:ascii="Arial" w:eastAsia="Times New Roman" w:hAnsi="Arial"/>
                <w:b/>
                <w:color w:val="000000"/>
                <w:sz w:val="16"/>
                <w:szCs w:val="16"/>
                <w:lang w:val="en-GB" w:eastAsia="sl-SI"/>
              </w:rPr>
              <w:t> </w:t>
            </w:r>
            <w:r>
              <w:rPr>
                <w:rFonts w:ascii="Arial" w:eastAsia="Times New Roman" w:hAnsi="Arial"/>
                <w:b/>
                <w:color w:val="000000"/>
                <w:sz w:val="16"/>
                <w:szCs w:val="16"/>
                <w:lang w:val="en-GB" w:eastAsia="sl-SI"/>
              </w:rPr>
              <w:t>800.000</w:t>
            </w:r>
          </w:p>
        </w:tc>
      </w:tr>
      <w:tr w:rsidR="00C87588" w:rsidRPr="00037282" w14:paraId="55E6CA28" w14:textId="77777777" w:rsidTr="00C87588">
        <w:trPr>
          <w:trHeight w:val="480"/>
        </w:trPr>
        <w:tc>
          <w:tcPr>
            <w:tcW w:w="1294" w:type="dxa"/>
            <w:tcBorders>
              <w:top w:val="thinThickSmallGap" w:sz="24" w:space="0" w:color="auto"/>
              <w:left w:val="single" w:sz="12" w:space="0" w:color="auto"/>
              <w:bottom w:val="double" w:sz="6" w:space="0" w:color="auto"/>
              <w:right w:val="nil"/>
            </w:tcBorders>
            <w:shd w:val="clear" w:color="auto" w:fill="auto"/>
            <w:vAlign w:val="center"/>
            <w:hideMark/>
          </w:tcPr>
          <w:p w14:paraId="473550FE" w14:textId="77777777" w:rsidR="00C87588" w:rsidRPr="00037282" w:rsidRDefault="00C87588" w:rsidP="00C87588">
            <w:pPr>
              <w:rPr>
                <w:rFonts w:ascii="Arial" w:eastAsia="Times New Roman" w:hAnsi="Arial"/>
                <w:color w:val="000000"/>
                <w:sz w:val="16"/>
                <w:szCs w:val="16"/>
                <w:lang w:val="en-GB" w:eastAsia="sl-SI"/>
              </w:rPr>
            </w:pPr>
            <w:r>
              <w:rPr>
                <w:rFonts w:ascii="Arial" w:eastAsia="Times New Roman" w:hAnsi="Arial"/>
                <w:color w:val="000000"/>
                <w:sz w:val="16"/>
                <w:szCs w:val="16"/>
                <w:lang w:eastAsia="sl-SI"/>
              </w:rPr>
              <w:t>V</w:t>
            </w:r>
            <w:r w:rsidRPr="00240AF6">
              <w:rPr>
                <w:rFonts w:ascii="Arial" w:eastAsia="Times New Roman" w:hAnsi="Arial"/>
                <w:color w:val="000000"/>
                <w:sz w:val="16"/>
                <w:szCs w:val="16"/>
                <w:lang w:eastAsia="sl-SI"/>
              </w:rPr>
              <w:t>mesni seštevek</w:t>
            </w:r>
          </w:p>
        </w:tc>
        <w:tc>
          <w:tcPr>
            <w:tcW w:w="1021" w:type="dxa"/>
            <w:tcBorders>
              <w:top w:val="thinThickSmallGap" w:sz="24" w:space="0" w:color="auto"/>
              <w:left w:val="single" w:sz="12" w:space="0" w:color="auto"/>
              <w:bottom w:val="double" w:sz="6" w:space="0" w:color="auto"/>
              <w:right w:val="dashed" w:sz="8" w:space="0" w:color="auto"/>
            </w:tcBorders>
            <w:shd w:val="clear" w:color="auto" w:fill="auto"/>
            <w:vAlign w:val="center"/>
            <w:hideMark/>
          </w:tcPr>
          <w:p w14:paraId="637102CD" w14:textId="77777777" w:rsidR="00C87588" w:rsidRPr="00037282" w:rsidRDefault="00C87588" w:rsidP="00C87588">
            <w:pPr>
              <w:rPr>
                <w:rFonts w:ascii="Arial" w:eastAsia="Times New Roman" w:hAnsi="Arial"/>
                <w:color w:val="000000"/>
                <w:sz w:val="16"/>
                <w:szCs w:val="16"/>
                <w:lang w:val="en-GB" w:eastAsia="sl-SI"/>
              </w:rPr>
            </w:pPr>
            <w:r w:rsidRPr="00037282">
              <w:rPr>
                <w:rFonts w:ascii="Arial" w:eastAsia="Times New Roman" w:hAnsi="Arial"/>
                <w:color w:val="000000"/>
                <w:sz w:val="16"/>
                <w:szCs w:val="16"/>
                <w:lang w:val="en-GB" w:eastAsia="sl-SI"/>
              </w:rPr>
              <w:t> </w:t>
            </w:r>
          </w:p>
        </w:tc>
        <w:tc>
          <w:tcPr>
            <w:tcW w:w="1021" w:type="dxa"/>
            <w:tcBorders>
              <w:top w:val="thinThickSmallGap" w:sz="24" w:space="0" w:color="auto"/>
              <w:left w:val="nil"/>
              <w:bottom w:val="double" w:sz="6" w:space="0" w:color="auto"/>
              <w:right w:val="dashed" w:sz="8" w:space="0" w:color="auto"/>
            </w:tcBorders>
            <w:shd w:val="clear" w:color="auto" w:fill="auto"/>
            <w:vAlign w:val="center"/>
            <w:hideMark/>
          </w:tcPr>
          <w:p w14:paraId="01856D36" w14:textId="77777777" w:rsidR="00C87588" w:rsidRPr="00037282" w:rsidRDefault="00C87588" w:rsidP="00C87588">
            <w:pPr>
              <w:rPr>
                <w:rFonts w:ascii="Arial" w:eastAsia="Times New Roman" w:hAnsi="Arial"/>
                <w:color w:val="000000"/>
                <w:sz w:val="16"/>
                <w:szCs w:val="16"/>
                <w:lang w:val="en-GB" w:eastAsia="sl-SI"/>
              </w:rPr>
            </w:pPr>
            <w:r w:rsidRPr="00037282">
              <w:rPr>
                <w:rFonts w:ascii="Arial" w:eastAsia="Times New Roman" w:hAnsi="Arial"/>
                <w:color w:val="000000"/>
                <w:sz w:val="16"/>
                <w:szCs w:val="16"/>
                <w:lang w:val="en-GB" w:eastAsia="sl-SI"/>
              </w:rPr>
              <w:t> </w:t>
            </w:r>
          </w:p>
        </w:tc>
        <w:tc>
          <w:tcPr>
            <w:tcW w:w="1736" w:type="dxa"/>
            <w:gridSpan w:val="2"/>
            <w:tcBorders>
              <w:top w:val="thinThickSmallGap" w:sz="24" w:space="0" w:color="auto"/>
              <w:left w:val="nil"/>
              <w:bottom w:val="double" w:sz="6" w:space="0" w:color="auto"/>
              <w:right w:val="dashed" w:sz="8" w:space="0" w:color="auto"/>
            </w:tcBorders>
            <w:shd w:val="clear" w:color="auto" w:fill="auto"/>
            <w:vAlign w:val="center"/>
            <w:hideMark/>
          </w:tcPr>
          <w:p w14:paraId="76BB51F5" w14:textId="77777777" w:rsidR="00C87588" w:rsidRPr="00037282" w:rsidRDefault="00C87588" w:rsidP="00C87588">
            <w:pPr>
              <w:jc w:val="center"/>
              <w:rPr>
                <w:rFonts w:ascii="Arial" w:eastAsia="Times New Roman" w:hAnsi="Arial"/>
                <w:color w:val="000000"/>
                <w:sz w:val="16"/>
                <w:szCs w:val="16"/>
                <w:lang w:val="en-GB" w:eastAsia="sl-SI"/>
              </w:rPr>
            </w:pPr>
            <w:r w:rsidRPr="00037282">
              <w:rPr>
                <w:rFonts w:ascii="Arial" w:eastAsia="Times New Roman" w:hAnsi="Arial"/>
                <w:color w:val="000000"/>
                <w:sz w:val="16"/>
                <w:szCs w:val="16"/>
                <w:lang w:val="en-GB" w:eastAsia="sl-SI"/>
              </w:rPr>
              <w:t xml:space="preserve">1.292.464 </w:t>
            </w:r>
          </w:p>
        </w:tc>
        <w:tc>
          <w:tcPr>
            <w:tcW w:w="2021" w:type="dxa"/>
            <w:gridSpan w:val="2"/>
            <w:tcBorders>
              <w:top w:val="thinThickSmallGap" w:sz="24" w:space="0" w:color="auto"/>
              <w:left w:val="nil"/>
              <w:bottom w:val="double" w:sz="6" w:space="0" w:color="auto"/>
              <w:right w:val="dashed" w:sz="8" w:space="0" w:color="000000"/>
            </w:tcBorders>
            <w:shd w:val="clear" w:color="auto" w:fill="auto"/>
            <w:vAlign w:val="center"/>
            <w:hideMark/>
          </w:tcPr>
          <w:p w14:paraId="0B441DB1" w14:textId="77777777" w:rsidR="00C87588" w:rsidRPr="00037282" w:rsidRDefault="00C87588" w:rsidP="00C87588">
            <w:pPr>
              <w:jc w:val="center"/>
              <w:rPr>
                <w:rFonts w:ascii="Arial" w:eastAsia="Times New Roman" w:hAnsi="Arial"/>
                <w:color w:val="000000"/>
                <w:sz w:val="16"/>
                <w:szCs w:val="16"/>
                <w:lang w:val="en-GB" w:eastAsia="sl-SI"/>
              </w:rPr>
            </w:pPr>
            <w:r w:rsidRPr="00037282">
              <w:rPr>
                <w:rFonts w:ascii="Arial" w:eastAsia="Times New Roman" w:hAnsi="Arial"/>
                <w:color w:val="000000"/>
                <w:sz w:val="16"/>
                <w:szCs w:val="16"/>
                <w:lang w:val="en-GB" w:eastAsia="sl-SI"/>
              </w:rPr>
              <w:t>36.056.161</w:t>
            </w:r>
          </w:p>
        </w:tc>
        <w:tc>
          <w:tcPr>
            <w:tcW w:w="1144" w:type="dxa"/>
            <w:tcBorders>
              <w:top w:val="thinThickSmallGap" w:sz="24" w:space="0" w:color="auto"/>
              <w:left w:val="nil"/>
              <w:bottom w:val="double" w:sz="6" w:space="0" w:color="auto"/>
              <w:right w:val="dashed" w:sz="8" w:space="0" w:color="auto"/>
            </w:tcBorders>
            <w:shd w:val="clear" w:color="auto" w:fill="auto"/>
            <w:vAlign w:val="center"/>
            <w:hideMark/>
          </w:tcPr>
          <w:p w14:paraId="4F33CDB7" w14:textId="77777777" w:rsidR="00C87588" w:rsidRPr="00037282" w:rsidRDefault="00C87588" w:rsidP="00C87588">
            <w:pPr>
              <w:jc w:val="center"/>
              <w:rPr>
                <w:rFonts w:ascii="Arial" w:eastAsia="Times New Roman" w:hAnsi="Arial"/>
                <w:color w:val="000000"/>
                <w:sz w:val="16"/>
                <w:szCs w:val="16"/>
                <w:lang w:val="en-GB" w:eastAsia="sl-SI"/>
              </w:rPr>
            </w:pPr>
            <w:r w:rsidRPr="00037282">
              <w:rPr>
                <w:rFonts w:ascii="Arial" w:eastAsia="Times New Roman" w:hAnsi="Arial"/>
                <w:color w:val="000000"/>
                <w:sz w:val="16"/>
                <w:szCs w:val="16"/>
                <w:lang w:val="en-GB" w:eastAsia="sl-SI"/>
              </w:rPr>
              <w:t> </w:t>
            </w:r>
          </w:p>
        </w:tc>
        <w:tc>
          <w:tcPr>
            <w:tcW w:w="992" w:type="dxa"/>
            <w:tcBorders>
              <w:top w:val="thinThickSmallGap" w:sz="24" w:space="0" w:color="auto"/>
              <w:left w:val="nil"/>
              <w:bottom w:val="double" w:sz="6" w:space="0" w:color="auto"/>
              <w:right w:val="single" w:sz="18" w:space="0" w:color="auto"/>
            </w:tcBorders>
            <w:shd w:val="clear" w:color="auto" w:fill="auto"/>
            <w:vAlign w:val="center"/>
            <w:hideMark/>
          </w:tcPr>
          <w:p w14:paraId="1167CB16" w14:textId="77777777" w:rsidR="00C87588" w:rsidRPr="00037282" w:rsidRDefault="00C87588" w:rsidP="00C87588">
            <w:pPr>
              <w:rPr>
                <w:rFonts w:ascii="Arial" w:eastAsia="Times New Roman" w:hAnsi="Arial"/>
                <w:color w:val="000000"/>
                <w:sz w:val="20"/>
                <w:szCs w:val="20"/>
                <w:lang w:val="en-GB" w:eastAsia="sl-SI"/>
              </w:rPr>
            </w:pPr>
            <w:r w:rsidRPr="00037282">
              <w:rPr>
                <w:rFonts w:ascii="Arial" w:eastAsia="Times New Roman" w:hAnsi="Arial"/>
                <w:color w:val="000000"/>
                <w:sz w:val="20"/>
                <w:szCs w:val="20"/>
                <w:lang w:val="en-GB" w:eastAsia="sl-SI"/>
              </w:rPr>
              <w:t> </w:t>
            </w:r>
          </w:p>
        </w:tc>
      </w:tr>
      <w:tr w:rsidR="00C87588" w:rsidRPr="00037282" w14:paraId="4C323541" w14:textId="77777777" w:rsidTr="00C87588">
        <w:trPr>
          <w:trHeight w:val="330"/>
        </w:trPr>
        <w:tc>
          <w:tcPr>
            <w:tcW w:w="1294" w:type="dxa"/>
            <w:tcBorders>
              <w:top w:val="nil"/>
              <w:left w:val="single" w:sz="12" w:space="0" w:color="auto"/>
              <w:bottom w:val="single" w:sz="12" w:space="0" w:color="auto"/>
              <w:right w:val="nil"/>
            </w:tcBorders>
            <w:shd w:val="clear" w:color="000000" w:fill="EEECE1"/>
            <w:vAlign w:val="center"/>
            <w:hideMark/>
          </w:tcPr>
          <w:p w14:paraId="11E63F18" w14:textId="77777777" w:rsidR="00C87588" w:rsidRPr="00037282" w:rsidRDefault="00C87588" w:rsidP="00C87588">
            <w:pPr>
              <w:rPr>
                <w:rFonts w:ascii="Arial" w:eastAsia="Times New Roman" w:hAnsi="Arial"/>
                <w:b/>
                <w:color w:val="000000"/>
                <w:sz w:val="16"/>
                <w:szCs w:val="16"/>
                <w:lang w:val="en-GB" w:eastAsia="sl-SI"/>
              </w:rPr>
            </w:pPr>
            <w:r>
              <w:rPr>
                <w:rFonts w:ascii="Arial" w:eastAsia="Times New Roman" w:hAnsi="Arial"/>
                <w:b/>
                <w:color w:val="000000"/>
                <w:sz w:val="16"/>
                <w:szCs w:val="16"/>
                <w:lang w:val="en-GB" w:eastAsia="sl-SI"/>
              </w:rPr>
              <w:t>SKUPAJ</w:t>
            </w:r>
          </w:p>
        </w:tc>
        <w:tc>
          <w:tcPr>
            <w:tcW w:w="1021" w:type="dxa"/>
            <w:tcBorders>
              <w:top w:val="nil"/>
              <w:left w:val="single" w:sz="12" w:space="0" w:color="auto"/>
              <w:bottom w:val="single" w:sz="12" w:space="0" w:color="auto"/>
              <w:right w:val="dashed" w:sz="8" w:space="0" w:color="auto"/>
            </w:tcBorders>
            <w:shd w:val="clear" w:color="000000" w:fill="EEECE1"/>
            <w:vAlign w:val="center"/>
            <w:hideMark/>
          </w:tcPr>
          <w:p w14:paraId="490F3809" w14:textId="77777777" w:rsidR="00C87588" w:rsidRPr="00037282" w:rsidRDefault="00C87588" w:rsidP="00C87588">
            <w:pPr>
              <w:rPr>
                <w:rFonts w:ascii="Arial" w:eastAsia="Times New Roman" w:hAnsi="Arial"/>
                <w:b/>
                <w:bCs/>
                <w:color w:val="000000"/>
                <w:sz w:val="16"/>
                <w:szCs w:val="16"/>
                <w:lang w:val="en-GB" w:eastAsia="sl-SI"/>
              </w:rPr>
            </w:pPr>
            <w:r w:rsidRPr="00037282">
              <w:rPr>
                <w:rFonts w:ascii="Arial" w:eastAsia="Times New Roman" w:hAnsi="Arial"/>
                <w:b/>
                <w:bCs/>
                <w:color w:val="000000"/>
                <w:sz w:val="16"/>
                <w:szCs w:val="16"/>
                <w:lang w:val="en-GB" w:eastAsia="sl-SI"/>
              </w:rPr>
              <w:t> </w:t>
            </w:r>
          </w:p>
        </w:tc>
        <w:tc>
          <w:tcPr>
            <w:tcW w:w="1021" w:type="dxa"/>
            <w:tcBorders>
              <w:top w:val="nil"/>
              <w:left w:val="nil"/>
              <w:bottom w:val="single" w:sz="12" w:space="0" w:color="auto"/>
              <w:right w:val="dashed" w:sz="8" w:space="0" w:color="auto"/>
            </w:tcBorders>
            <w:shd w:val="clear" w:color="000000" w:fill="EEECE1"/>
            <w:vAlign w:val="center"/>
            <w:hideMark/>
          </w:tcPr>
          <w:p w14:paraId="67E59393" w14:textId="77777777" w:rsidR="00C87588" w:rsidRPr="00037282" w:rsidRDefault="00C87588" w:rsidP="00C87588">
            <w:pPr>
              <w:rPr>
                <w:rFonts w:ascii="Arial" w:eastAsia="Times New Roman" w:hAnsi="Arial"/>
                <w:b/>
                <w:bCs/>
                <w:color w:val="000000"/>
                <w:sz w:val="16"/>
                <w:szCs w:val="16"/>
                <w:lang w:val="en-GB" w:eastAsia="sl-SI"/>
              </w:rPr>
            </w:pPr>
            <w:r w:rsidRPr="00037282">
              <w:rPr>
                <w:rFonts w:ascii="Arial" w:eastAsia="Times New Roman" w:hAnsi="Arial"/>
                <w:b/>
                <w:bCs/>
                <w:color w:val="000000"/>
                <w:sz w:val="16"/>
                <w:szCs w:val="16"/>
                <w:lang w:val="en-GB" w:eastAsia="sl-SI"/>
              </w:rPr>
              <w:t> </w:t>
            </w:r>
          </w:p>
        </w:tc>
        <w:tc>
          <w:tcPr>
            <w:tcW w:w="3757" w:type="dxa"/>
            <w:gridSpan w:val="4"/>
            <w:tcBorders>
              <w:top w:val="nil"/>
              <w:left w:val="nil"/>
              <w:bottom w:val="single" w:sz="12" w:space="0" w:color="auto"/>
              <w:right w:val="dashed" w:sz="8" w:space="0" w:color="000000"/>
            </w:tcBorders>
            <w:shd w:val="clear" w:color="000000" w:fill="EEECE1"/>
          </w:tcPr>
          <w:p w14:paraId="6D5B543A" w14:textId="77777777" w:rsidR="00C87588" w:rsidRPr="00037282" w:rsidRDefault="00C87588" w:rsidP="00C87588">
            <w:pPr>
              <w:jc w:val="center"/>
              <w:rPr>
                <w:rFonts w:ascii="Arial" w:eastAsia="Times New Roman" w:hAnsi="Arial"/>
                <w:b/>
                <w:bCs/>
                <w:color w:val="000000"/>
                <w:sz w:val="16"/>
                <w:szCs w:val="16"/>
                <w:lang w:val="en-GB" w:eastAsia="sl-SI"/>
              </w:rPr>
            </w:pPr>
            <w:r w:rsidRPr="00037282">
              <w:rPr>
                <w:rFonts w:ascii="Arial" w:eastAsia="Times New Roman" w:hAnsi="Arial"/>
                <w:b/>
                <w:bCs/>
                <w:color w:val="000000"/>
                <w:sz w:val="16"/>
                <w:szCs w:val="16"/>
                <w:lang w:val="en-GB" w:eastAsia="sl-SI"/>
              </w:rPr>
              <w:t xml:space="preserve">37.348.625 </w:t>
            </w:r>
          </w:p>
        </w:tc>
        <w:tc>
          <w:tcPr>
            <w:tcW w:w="1144" w:type="dxa"/>
            <w:tcBorders>
              <w:top w:val="nil"/>
              <w:left w:val="nil"/>
              <w:bottom w:val="single" w:sz="12" w:space="0" w:color="auto"/>
              <w:right w:val="dashed" w:sz="8" w:space="0" w:color="auto"/>
            </w:tcBorders>
            <w:shd w:val="clear" w:color="000000" w:fill="EEECE1"/>
            <w:vAlign w:val="center"/>
            <w:hideMark/>
          </w:tcPr>
          <w:p w14:paraId="63BB2F80" w14:textId="77777777" w:rsidR="00C87588" w:rsidRPr="00037282" w:rsidRDefault="00C87588" w:rsidP="00C87588">
            <w:pPr>
              <w:jc w:val="center"/>
              <w:rPr>
                <w:rFonts w:ascii="Arial" w:eastAsia="Times New Roman" w:hAnsi="Arial"/>
                <w:b/>
                <w:bCs/>
                <w:color w:val="000000"/>
                <w:sz w:val="16"/>
                <w:szCs w:val="16"/>
                <w:lang w:val="en-GB" w:eastAsia="sl-SI"/>
              </w:rPr>
            </w:pPr>
            <w:r w:rsidRPr="00037282">
              <w:rPr>
                <w:rFonts w:ascii="Arial" w:eastAsia="Times New Roman" w:hAnsi="Arial"/>
                <w:b/>
                <w:bCs/>
                <w:color w:val="000000"/>
                <w:sz w:val="16"/>
                <w:szCs w:val="16"/>
                <w:lang w:val="en-GB" w:eastAsia="sl-SI"/>
              </w:rPr>
              <w:t xml:space="preserve">18.676.532 </w:t>
            </w:r>
          </w:p>
        </w:tc>
        <w:tc>
          <w:tcPr>
            <w:tcW w:w="992" w:type="dxa"/>
            <w:tcBorders>
              <w:top w:val="nil"/>
              <w:left w:val="nil"/>
              <w:bottom w:val="single" w:sz="12" w:space="0" w:color="auto"/>
              <w:right w:val="single" w:sz="18" w:space="0" w:color="auto"/>
            </w:tcBorders>
            <w:shd w:val="clear" w:color="000000" w:fill="EEECE1"/>
            <w:vAlign w:val="center"/>
            <w:hideMark/>
          </w:tcPr>
          <w:p w14:paraId="1F1A3A10" w14:textId="77777777" w:rsidR="00C87588" w:rsidRPr="00037282" w:rsidRDefault="00C87588" w:rsidP="00C87588">
            <w:pPr>
              <w:jc w:val="center"/>
              <w:rPr>
                <w:rFonts w:ascii="Arial" w:eastAsia="Times New Roman" w:hAnsi="Arial"/>
                <w:b/>
                <w:bCs/>
                <w:color w:val="000000"/>
                <w:sz w:val="16"/>
                <w:szCs w:val="16"/>
                <w:lang w:val="en-GB" w:eastAsia="sl-SI"/>
              </w:rPr>
            </w:pPr>
            <w:r w:rsidRPr="00037282">
              <w:rPr>
                <w:rFonts w:ascii="Arial" w:eastAsia="Times New Roman" w:hAnsi="Arial"/>
                <w:b/>
                <w:bCs/>
                <w:color w:val="000000"/>
                <w:sz w:val="16"/>
                <w:szCs w:val="16"/>
                <w:lang w:val="en-GB" w:eastAsia="sl-SI"/>
              </w:rPr>
              <w:t xml:space="preserve">56.025.157 </w:t>
            </w:r>
          </w:p>
        </w:tc>
      </w:tr>
    </w:tbl>
    <w:p w14:paraId="3D31D65B" w14:textId="77777777" w:rsidR="00C87588" w:rsidRDefault="00C87588" w:rsidP="00C87588">
      <w:pPr>
        <w:jc w:val="both"/>
        <w:rPr>
          <w:rFonts w:ascii="Arial" w:eastAsia="Times New Roman" w:hAnsi="Arial"/>
          <w:b/>
          <w:sz w:val="20"/>
          <w:szCs w:val="24"/>
        </w:rPr>
      </w:pPr>
    </w:p>
    <w:p w14:paraId="3BF92F6F" w14:textId="77777777" w:rsidR="00C87588" w:rsidRDefault="00C87588" w:rsidP="00C87588">
      <w:pPr>
        <w:jc w:val="both"/>
        <w:rPr>
          <w:rFonts w:ascii="Arial" w:eastAsia="Times New Roman" w:hAnsi="Arial"/>
          <w:b/>
          <w:sz w:val="20"/>
          <w:szCs w:val="24"/>
        </w:rPr>
      </w:pPr>
    </w:p>
    <w:p w14:paraId="619D8F03" w14:textId="77777777" w:rsidR="00C87588" w:rsidRDefault="00C87588" w:rsidP="00C87588">
      <w:pPr>
        <w:jc w:val="both"/>
        <w:rPr>
          <w:rFonts w:ascii="Arial" w:eastAsia="Times New Roman" w:hAnsi="Arial"/>
          <w:b/>
          <w:sz w:val="20"/>
          <w:szCs w:val="24"/>
        </w:rPr>
      </w:pPr>
    </w:p>
    <w:p w14:paraId="7484502F" w14:textId="77777777" w:rsidR="00C87588" w:rsidRPr="00240AF6" w:rsidRDefault="00C87588" w:rsidP="00C87588">
      <w:pPr>
        <w:spacing w:after="120" w:line="260" w:lineRule="atLeast"/>
        <w:jc w:val="both"/>
        <w:rPr>
          <w:rFonts w:ascii="Arial" w:eastAsia="Times New Roman" w:hAnsi="Arial"/>
          <w:b/>
          <w:sz w:val="20"/>
          <w:szCs w:val="24"/>
        </w:rPr>
      </w:pPr>
    </w:p>
    <w:p w14:paraId="13052312" w14:textId="77777777" w:rsidR="00C87588" w:rsidRPr="00240AF6" w:rsidRDefault="00C87588" w:rsidP="00C87588">
      <w:pPr>
        <w:spacing w:after="0" w:line="260" w:lineRule="atLeast"/>
        <w:jc w:val="both"/>
        <w:rPr>
          <w:rFonts w:ascii="Arial" w:eastAsia="Times New Roman" w:hAnsi="Arial"/>
          <w:sz w:val="20"/>
          <w:szCs w:val="24"/>
        </w:rPr>
      </w:pPr>
    </w:p>
    <w:p w14:paraId="471F3717" w14:textId="77777777" w:rsidR="00C87588" w:rsidRPr="00240AF6" w:rsidRDefault="00C87588" w:rsidP="00C87588">
      <w:pPr>
        <w:spacing w:after="0" w:line="260" w:lineRule="atLeast"/>
        <w:jc w:val="both"/>
        <w:rPr>
          <w:rFonts w:ascii="Arial" w:eastAsia="Times New Roman" w:hAnsi="Arial"/>
          <w:sz w:val="20"/>
          <w:szCs w:val="24"/>
        </w:rPr>
        <w:sectPr w:rsidR="00C87588" w:rsidRPr="00240AF6" w:rsidSect="006E3A30">
          <w:pgSz w:w="11900" w:h="16840"/>
          <w:pgMar w:top="1440" w:right="1701" w:bottom="2041" w:left="1797" w:header="709" w:footer="567" w:gutter="0"/>
          <w:cols w:space="708"/>
          <w:docGrid w:linePitch="360"/>
        </w:sectPr>
      </w:pPr>
    </w:p>
    <w:p w14:paraId="1391471F" w14:textId="77777777" w:rsidR="00C87588" w:rsidRPr="00240AF6" w:rsidRDefault="00C87588" w:rsidP="00C87588">
      <w:pPr>
        <w:numPr>
          <w:ilvl w:val="0"/>
          <w:numId w:val="11"/>
        </w:numPr>
        <w:spacing w:after="0" w:line="260" w:lineRule="atLeast"/>
        <w:ind w:hanging="720"/>
        <w:contextualSpacing/>
        <w:jc w:val="both"/>
        <w:rPr>
          <w:rFonts w:ascii="Arial" w:eastAsia="Times New Roman" w:hAnsi="Arial" w:cstheme="minorBidi"/>
          <w:b/>
          <w:sz w:val="20"/>
          <w:szCs w:val="24"/>
        </w:rPr>
      </w:pPr>
      <w:r w:rsidRPr="00240AF6">
        <w:rPr>
          <w:rFonts w:ascii="Arial" w:eastAsia="Times New Roman" w:hAnsi="Arial" w:cstheme="minorBidi"/>
          <w:b/>
          <w:sz w:val="20"/>
          <w:szCs w:val="24"/>
        </w:rPr>
        <w:lastRenderedPageBreak/>
        <w:t>Spremembe osnovnih predpostavk, ki so bile podlaga pri pripravi OP</w:t>
      </w:r>
      <w:r>
        <w:rPr>
          <w:rFonts w:ascii="Arial" w:eastAsia="Times New Roman" w:hAnsi="Arial" w:cstheme="minorBidi"/>
          <w:b/>
          <w:sz w:val="20"/>
          <w:szCs w:val="24"/>
        </w:rPr>
        <w:t xml:space="preserve"> </w:t>
      </w:r>
      <w:r>
        <w:rPr>
          <w:rFonts w:ascii="Arial" w:eastAsia="Times New Roman" w:hAnsi="Arial"/>
          <w:b/>
          <w:sz w:val="20"/>
          <w:szCs w:val="24"/>
        </w:rPr>
        <w:t>v letu 2014</w:t>
      </w:r>
    </w:p>
    <w:p w14:paraId="47623AF7" w14:textId="77777777" w:rsidR="00C87588" w:rsidRPr="00240AF6" w:rsidRDefault="00C87588" w:rsidP="00C87588">
      <w:pPr>
        <w:autoSpaceDE w:val="0"/>
        <w:autoSpaceDN w:val="0"/>
        <w:adjustRightInd w:val="0"/>
        <w:spacing w:after="0" w:line="240" w:lineRule="auto"/>
        <w:jc w:val="both"/>
        <w:rPr>
          <w:rFonts w:ascii="Arial" w:eastAsiaTheme="minorHAnsi" w:hAnsi="Arial" w:cs="Arial"/>
          <w:sz w:val="20"/>
          <w:szCs w:val="20"/>
        </w:rPr>
      </w:pPr>
    </w:p>
    <w:p w14:paraId="1E7CF33E" w14:textId="77777777" w:rsidR="00C87588" w:rsidRDefault="00C87588" w:rsidP="00C87588">
      <w:pPr>
        <w:spacing w:afterLines="200" w:after="480" w:line="240" w:lineRule="auto"/>
        <w:jc w:val="both"/>
        <w:rPr>
          <w:rFonts w:ascii="Arial" w:hAnsi="Arial" w:cs="Arial"/>
          <w:sz w:val="20"/>
          <w:szCs w:val="20"/>
        </w:rPr>
      </w:pPr>
      <w:r w:rsidRPr="00CA29D6">
        <w:rPr>
          <w:rFonts w:ascii="Arial" w:hAnsi="Arial" w:cs="Arial"/>
          <w:sz w:val="20"/>
          <w:szCs w:val="20"/>
        </w:rPr>
        <w:t>Po potrditvi OP 2014</w:t>
      </w:r>
      <w:r>
        <w:rPr>
          <w:rFonts w:ascii="Arial" w:hAnsi="Arial" w:cs="Arial"/>
          <w:sz w:val="20"/>
          <w:szCs w:val="20"/>
        </w:rPr>
        <w:t>–</w:t>
      </w:r>
      <w:r w:rsidRPr="00CA29D6">
        <w:rPr>
          <w:rFonts w:ascii="Arial" w:hAnsi="Arial" w:cs="Arial"/>
          <w:sz w:val="20"/>
          <w:szCs w:val="20"/>
        </w:rPr>
        <w:t>2020 se je iz sredstev programskega obdobja 2007</w:t>
      </w:r>
      <w:r>
        <w:rPr>
          <w:rFonts w:ascii="Arial" w:hAnsi="Arial" w:cs="Arial"/>
          <w:sz w:val="20"/>
          <w:szCs w:val="20"/>
        </w:rPr>
        <w:t>–</w:t>
      </w:r>
      <w:r w:rsidRPr="00CA29D6">
        <w:rPr>
          <w:rFonts w:ascii="Arial" w:hAnsi="Arial" w:cs="Arial"/>
          <w:sz w:val="20"/>
          <w:szCs w:val="20"/>
        </w:rPr>
        <w:t>2013 še dodatno dodelilo sredstva za izvajanje finančnih instrumentov</w:t>
      </w:r>
      <w:r>
        <w:rPr>
          <w:rFonts w:ascii="Arial" w:hAnsi="Arial" w:cs="Arial"/>
          <w:sz w:val="20"/>
          <w:szCs w:val="20"/>
        </w:rPr>
        <w:t xml:space="preserve"> (v nadaljevanju FI)</w:t>
      </w:r>
      <w:r w:rsidRPr="00CA29D6">
        <w:rPr>
          <w:rFonts w:ascii="Arial" w:hAnsi="Arial" w:cs="Arial"/>
          <w:sz w:val="20"/>
          <w:szCs w:val="20"/>
        </w:rPr>
        <w:t xml:space="preserve">. </w:t>
      </w:r>
      <w:r>
        <w:rPr>
          <w:rFonts w:ascii="Arial" w:hAnsi="Arial" w:cs="Arial"/>
          <w:sz w:val="20"/>
          <w:szCs w:val="20"/>
        </w:rPr>
        <w:t>I</w:t>
      </w:r>
      <w:r w:rsidRPr="008D0E46">
        <w:rPr>
          <w:rFonts w:ascii="Arial" w:hAnsi="Arial" w:cs="Arial"/>
          <w:sz w:val="20"/>
          <w:szCs w:val="20"/>
        </w:rPr>
        <w:t xml:space="preserve">z tega razloga se pričakuje visok obseg razpoložljivih sredstev iz naslova </w:t>
      </w:r>
      <w:proofErr w:type="spellStart"/>
      <w:r w:rsidRPr="008D0E46">
        <w:rPr>
          <w:rFonts w:ascii="Arial" w:hAnsi="Arial" w:cs="Arial"/>
          <w:sz w:val="20"/>
          <w:szCs w:val="20"/>
        </w:rPr>
        <w:t>revolvinga</w:t>
      </w:r>
      <w:proofErr w:type="spellEnd"/>
      <w:r w:rsidRPr="008D0E46">
        <w:rPr>
          <w:rFonts w:ascii="Arial" w:hAnsi="Arial" w:cs="Arial"/>
          <w:sz w:val="20"/>
          <w:szCs w:val="20"/>
        </w:rPr>
        <w:t xml:space="preserve"> za financiranje </w:t>
      </w:r>
      <w:r>
        <w:rPr>
          <w:rFonts w:ascii="Arial" w:hAnsi="Arial" w:cs="Arial"/>
          <w:sz w:val="20"/>
          <w:szCs w:val="20"/>
        </w:rPr>
        <w:t xml:space="preserve">malih in srednjih podjetij (v nadaljevanju </w:t>
      </w:r>
      <w:r w:rsidRPr="008D0E46">
        <w:rPr>
          <w:rFonts w:ascii="Arial" w:hAnsi="Arial" w:cs="Arial"/>
          <w:sz w:val="20"/>
          <w:szCs w:val="20"/>
        </w:rPr>
        <w:t>MSP</w:t>
      </w:r>
      <w:r>
        <w:rPr>
          <w:rFonts w:ascii="Arial" w:hAnsi="Arial" w:cs="Arial"/>
          <w:sz w:val="20"/>
          <w:szCs w:val="20"/>
        </w:rPr>
        <w:t>)</w:t>
      </w:r>
      <w:r w:rsidRPr="008D0E46">
        <w:rPr>
          <w:rFonts w:ascii="Arial" w:hAnsi="Arial" w:cs="Arial"/>
          <w:sz w:val="20"/>
          <w:szCs w:val="20"/>
        </w:rPr>
        <w:t>.</w:t>
      </w:r>
      <w:r w:rsidRPr="00CA29D6">
        <w:rPr>
          <w:rFonts w:ascii="Arial" w:hAnsi="Arial" w:cs="Arial"/>
          <w:sz w:val="20"/>
          <w:szCs w:val="20"/>
        </w:rPr>
        <w:t xml:space="preserve"> Glede na navedeno ter spremenjen časovni okvir, se </w:t>
      </w:r>
      <w:r>
        <w:rPr>
          <w:rFonts w:ascii="Arial" w:hAnsi="Arial" w:cs="Arial"/>
          <w:sz w:val="20"/>
          <w:szCs w:val="20"/>
        </w:rPr>
        <w:t>kaže</w:t>
      </w:r>
      <w:r w:rsidRPr="00CA29D6">
        <w:rPr>
          <w:rFonts w:ascii="Arial" w:hAnsi="Arial" w:cs="Arial"/>
          <w:sz w:val="20"/>
          <w:szCs w:val="20"/>
        </w:rPr>
        <w:t xml:space="preserve"> potreba po zmanjšanju obsega sredstev za izvajanje </w:t>
      </w:r>
      <w:r>
        <w:rPr>
          <w:rFonts w:ascii="Arial" w:hAnsi="Arial" w:cs="Arial"/>
          <w:sz w:val="20"/>
          <w:szCs w:val="20"/>
        </w:rPr>
        <w:t>FI v okviru sedanjega programskega obdobja, še posebej v V</w:t>
      </w:r>
      <w:r w:rsidRPr="00CA29D6">
        <w:rPr>
          <w:rFonts w:ascii="Arial" w:hAnsi="Arial" w:cs="Arial"/>
          <w:sz w:val="20"/>
          <w:szCs w:val="20"/>
        </w:rPr>
        <w:t xml:space="preserve">zhodni kohezijski regiji, v kateri je obseg sredstev za te namene predimenzioniran. Iz tega razloga se s to spremembo predlaga zmanjšanje sredstev namenjenih za </w:t>
      </w:r>
      <w:r>
        <w:rPr>
          <w:rFonts w:ascii="Arial" w:hAnsi="Arial" w:cs="Arial"/>
          <w:sz w:val="20"/>
          <w:szCs w:val="20"/>
        </w:rPr>
        <w:t>FI</w:t>
      </w:r>
      <w:r w:rsidRPr="00CA29D6">
        <w:rPr>
          <w:rFonts w:ascii="Arial" w:hAnsi="Arial" w:cs="Arial"/>
          <w:sz w:val="20"/>
          <w:szCs w:val="20"/>
        </w:rPr>
        <w:t xml:space="preserve"> in povečanje obsega nepovratnih sredstev v </w:t>
      </w:r>
      <w:r>
        <w:rPr>
          <w:rFonts w:ascii="Arial" w:hAnsi="Arial" w:cs="Arial"/>
          <w:sz w:val="20"/>
          <w:szCs w:val="20"/>
        </w:rPr>
        <w:t>V</w:t>
      </w:r>
      <w:r w:rsidRPr="00CA29D6">
        <w:rPr>
          <w:rFonts w:ascii="Arial" w:hAnsi="Arial" w:cs="Arial"/>
          <w:sz w:val="20"/>
          <w:szCs w:val="20"/>
        </w:rPr>
        <w:t>zhodni kohezijski regiji in sicer 40 mi</w:t>
      </w:r>
      <w:r>
        <w:rPr>
          <w:rFonts w:ascii="Arial" w:hAnsi="Arial" w:cs="Arial"/>
          <w:sz w:val="20"/>
          <w:szCs w:val="20"/>
        </w:rPr>
        <w:t xml:space="preserve">lijonov </w:t>
      </w:r>
      <w:r w:rsidRPr="00CA29D6">
        <w:rPr>
          <w:rFonts w:ascii="Arial" w:hAnsi="Arial" w:cs="Arial"/>
          <w:sz w:val="20"/>
          <w:szCs w:val="20"/>
        </w:rPr>
        <w:t xml:space="preserve">evrov na </w:t>
      </w:r>
      <w:r>
        <w:rPr>
          <w:rFonts w:ascii="Arial" w:hAnsi="Arial" w:cs="Arial"/>
          <w:sz w:val="20"/>
          <w:szCs w:val="20"/>
        </w:rPr>
        <w:t>prednostni osi</w:t>
      </w:r>
      <w:r w:rsidRPr="00CA29D6">
        <w:rPr>
          <w:rFonts w:ascii="Arial" w:hAnsi="Arial" w:cs="Arial"/>
          <w:sz w:val="20"/>
          <w:szCs w:val="20"/>
        </w:rPr>
        <w:t xml:space="preserve"> 1 in 120 mi</w:t>
      </w:r>
      <w:r>
        <w:rPr>
          <w:rFonts w:ascii="Arial" w:hAnsi="Arial" w:cs="Arial"/>
          <w:sz w:val="20"/>
          <w:szCs w:val="20"/>
        </w:rPr>
        <w:t>lijonov</w:t>
      </w:r>
      <w:r w:rsidRPr="00CA29D6">
        <w:rPr>
          <w:rFonts w:ascii="Arial" w:hAnsi="Arial" w:cs="Arial"/>
          <w:sz w:val="20"/>
          <w:szCs w:val="20"/>
        </w:rPr>
        <w:t xml:space="preserve"> evrov na </w:t>
      </w:r>
      <w:r>
        <w:rPr>
          <w:rFonts w:ascii="Arial" w:hAnsi="Arial" w:cs="Arial"/>
          <w:sz w:val="20"/>
          <w:szCs w:val="20"/>
        </w:rPr>
        <w:t>prednostni osi</w:t>
      </w:r>
      <w:r w:rsidRPr="00CA29D6">
        <w:rPr>
          <w:rFonts w:ascii="Arial" w:hAnsi="Arial" w:cs="Arial"/>
          <w:sz w:val="20"/>
          <w:szCs w:val="20"/>
        </w:rPr>
        <w:t xml:space="preserve"> 3.</w:t>
      </w:r>
    </w:p>
    <w:p w14:paraId="3A8C5F60" w14:textId="0ACB7B5A" w:rsidR="00C87588" w:rsidRPr="003625FD" w:rsidRDefault="00C87588" w:rsidP="00C87588">
      <w:pPr>
        <w:pStyle w:val="Telobesedila"/>
        <w:spacing w:afterLines="200" w:after="480"/>
        <w:rPr>
          <w:rFonts w:ascii="Arial" w:hAnsi="Arial" w:cs="Arial"/>
        </w:rPr>
      </w:pPr>
      <w:r>
        <w:rPr>
          <w:rFonts w:ascii="Arial" w:hAnsi="Arial" w:cs="Arial"/>
        </w:rPr>
        <w:t>Služba Vlade RS za razvoj in evropsko kohezijsko politiko (v nadaljevanju SVRK) je skupaj z zunanjim izvajalcem PWC d.o.o. pripravila predhodno oceno</w:t>
      </w:r>
      <w:r w:rsidRPr="003625FD">
        <w:rPr>
          <w:rFonts w:ascii="Arial" w:hAnsi="Arial" w:cs="Arial"/>
        </w:rPr>
        <w:t xml:space="preserve"> </w:t>
      </w:r>
      <w:r>
        <w:rPr>
          <w:rFonts w:ascii="Arial" w:hAnsi="Arial" w:cs="Arial"/>
        </w:rPr>
        <w:t>FI</w:t>
      </w:r>
      <w:r w:rsidRPr="003625FD">
        <w:rPr>
          <w:rFonts w:ascii="Arial" w:hAnsi="Arial" w:cs="Arial"/>
        </w:rPr>
        <w:t xml:space="preserve"> v Sloveniji. Naložbena področja, ki jih </w:t>
      </w:r>
      <w:r>
        <w:rPr>
          <w:rFonts w:ascii="Arial" w:hAnsi="Arial" w:cs="Arial"/>
        </w:rPr>
        <w:t>predhodna ocena naslavlja</w:t>
      </w:r>
      <w:r w:rsidRPr="003625FD">
        <w:rPr>
          <w:rFonts w:ascii="Arial" w:hAnsi="Arial" w:cs="Arial"/>
        </w:rPr>
        <w:t>, so MSP, raziskave, razvoj in inovacije, učinkovita raba energije ter urbani i</w:t>
      </w:r>
      <w:r>
        <w:rPr>
          <w:rFonts w:ascii="Arial" w:hAnsi="Arial" w:cs="Arial"/>
        </w:rPr>
        <w:t xml:space="preserve">n teritorialni razvoj. </w:t>
      </w:r>
      <w:r w:rsidRPr="003625FD">
        <w:rPr>
          <w:rFonts w:ascii="Arial" w:hAnsi="Arial" w:cs="Arial"/>
        </w:rPr>
        <w:t>Predhodna analiza je bila pripravljena do konca leta 2015</w:t>
      </w:r>
      <w:r>
        <w:rPr>
          <w:rFonts w:ascii="Arial" w:hAnsi="Arial" w:cs="Arial"/>
        </w:rPr>
        <w:t>,</w:t>
      </w:r>
      <w:r w:rsidRPr="003625FD">
        <w:rPr>
          <w:rFonts w:ascii="Arial" w:hAnsi="Arial" w:cs="Arial"/>
        </w:rPr>
        <w:t xml:space="preserve"> vir podatkov za kvantitativno analizo so predstavljali </w:t>
      </w:r>
      <w:r>
        <w:rPr>
          <w:rFonts w:ascii="Arial" w:hAnsi="Arial" w:cs="Arial"/>
        </w:rPr>
        <w:t xml:space="preserve">statistični </w:t>
      </w:r>
      <w:r w:rsidRPr="003625FD">
        <w:rPr>
          <w:rFonts w:ascii="Arial" w:hAnsi="Arial" w:cs="Arial"/>
        </w:rPr>
        <w:t xml:space="preserve">podatki </w:t>
      </w:r>
      <w:r>
        <w:rPr>
          <w:rFonts w:ascii="Arial" w:hAnsi="Arial" w:cs="Arial"/>
        </w:rPr>
        <w:t>iz leta</w:t>
      </w:r>
      <w:r w:rsidRPr="003625FD">
        <w:rPr>
          <w:rFonts w:ascii="Arial" w:hAnsi="Arial" w:cs="Arial"/>
        </w:rPr>
        <w:t xml:space="preserve"> 2013 in 2014.</w:t>
      </w:r>
    </w:p>
    <w:p w14:paraId="3633B526" w14:textId="77777777" w:rsidR="00C87588" w:rsidRPr="003625FD" w:rsidRDefault="00C87588" w:rsidP="00C87588">
      <w:pPr>
        <w:pStyle w:val="Telobesedila"/>
        <w:spacing w:afterLines="200" w:after="480"/>
        <w:rPr>
          <w:rFonts w:ascii="Arial" w:hAnsi="Arial" w:cs="Arial"/>
        </w:rPr>
      </w:pPr>
      <w:r>
        <w:rPr>
          <w:rFonts w:ascii="Arial" w:hAnsi="Arial" w:cs="Arial"/>
        </w:rPr>
        <w:t>V skladu s 37(2)</w:t>
      </w:r>
      <w:r w:rsidRPr="003625FD">
        <w:rPr>
          <w:rFonts w:ascii="Arial" w:hAnsi="Arial" w:cs="Arial"/>
        </w:rPr>
        <w:t xml:space="preserve"> </w:t>
      </w:r>
      <w:r>
        <w:rPr>
          <w:rFonts w:ascii="Arial" w:hAnsi="Arial" w:cs="Arial"/>
        </w:rPr>
        <w:t xml:space="preserve">členom </w:t>
      </w:r>
      <w:r w:rsidRPr="003625FD">
        <w:rPr>
          <w:rFonts w:ascii="Arial" w:hAnsi="Arial" w:cs="Arial"/>
        </w:rPr>
        <w:t xml:space="preserve">Uredbe </w:t>
      </w:r>
      <w:r>
        <w:rPr>
          <w:rFonts w:ascii="Arial" w:hAnsi="Arial" w:cs="Arial"/>
        </w:rPr>
        <w:t xml:space="preserve">EU </w:t>
      </w:r>
      <w:r w:rsidRPr="003625FD">
        <w:rPr>
          <w:rFonts w:ascii="Arial" w:hAnsi="Arial" w:cs="Arial"/>
        </w:rPr>
        <w:t xml:space="preserve">1303/2013 se organ upravljanja lahko odloči, da se predhodna ocena po potrebi pregleda in posodobi med izvajanjem katerega koli </w:t>
      </w:r>
      <w:r>
        <w:rPr>
          <w:rFonts w:ascii="Arial" w:hAnsi="Arial" w:cs="Arial"/>
        </w:rPr>
        <w:t>FI</w:t>
      </w:r>
      <w:r w:rsidRPr="003625FD">
        <w:rPr>
          <w:rFonts w:ascii="Arial" w:hAnsi="Arial" w:cs="Arial"/>
        </w:rPr>
        <w:t>, ki se izvaja na podlagi takšne ocene, če v fazi izvajanja meni, da predhodna ocena ne ustreza več popolnoma tržnim pogojem, ki obstajajo v času izvajanja.</w:t>
      </w:r>
    </w:p>
    <w:p w14:paraId="78B95362" w14:textId="77777777" w:rsidR="00C87588" w:rsidRDefault="00C87588" w:rsidP="00C87588">
      <w:pPr>
        <w:spacing w:after="0"/>
        <w:jc w:val="both"/>
        <w:rPr>
          <w:rFonts w:ascii="Arial" w:hAnsi="Arial" w:cs="Arial"/>
          <w:sz w:val="20"/>
          <w:szCs w:val="20"/>
        </w:rPr>
      </w:pPr>
      <w:r>
        <w:rPr>
          <w:rFonts w:ascii="Arial" w:hAnsi="Arial" w:cs="Arial"/>
          <w:sz w:val="20"/>
          <w:szCs w:val="20"/>
        </w:rPr>
        <w:t>SVRK v vlogi o</w:t>
      </w:r>
      <w:r w:rsidRPr="003625FD">
        <w:rPr>
          <w:rFonts w:ascii="Arial" w:hAnsi="Arial" w:cs="Arial"/>
          <w:sz w:val="20"/>
          <w:szCs w:val="20"/>
        </w:rPr>
        <w:t>rg</w:t>
      </w:r>
      <w:r>
        <w:rPr>
          <w:rFonts w:ascii="Arial" w:hAnsi="Arial" w:cs="Arial"/>
          <w:sz w:val="20"/>
          <w:szCs w:val="20"/>
        </w:rPr>
        <w:t>ana upravljanja se je odločila za</w:t>
      </w:r>
      <w:r w:rsidRPr="003625FD">
        <w:rPr>
          <w:rFonts w:ascii="Arial" w:hAnsi="Arial" w:cs="Arial"/>
          <w:sz w:val="20"/>
          <w:szCs w:val="20"/>
        </w:rPr>
        <w:t xml:space="preserve"> pono</w:t>
      </w:r>
      <w:r>
        <w:rPr>
          <w:rFonts w:ascii="Arial" w:hAnsi="Arial" w:cs="Arial"/>
          <w:sz w:val="20"/>
          <w:szCs w:val="20"/>
        </w:rPr>
        <w:t>vni pregled predhodne ocene</w:t>
      </w:r>
      <w:r w:rsidRPr="003625FD">
        <w:rPr>
          <w:rFonts w:ascii="Arial" w:hAnsi="Arial" w:cs="Arial"/>
          <w:sz w:val="20"/>
          <w:szCs w:val="20"/>
        </w:rPr>
        <w:t xml:space="preserve"> </w:t>
      </w:r>
      <w:r>
        <w:rPr>
          <w:rFonts w:ascii="Arial" w:hAnsi="Arial" w:cs="Arial"/>
          <w:sz w:val="20"/>
          <w:szCs w:val="20"/>
        </w:rPr>
        <w:t>FI na podlagi zaznanih sprememb na bančno finančnem področju. Pri tem ugotavlja, da:</w:t>
      </w:r>
    </w:p>
    <w:p w14:paraId="2FAF43B7" w14:textId="5A5290C6" w:rsidR="00A144AF" w:rsidRPr="00A144AF" w:rsidRDefault="00C87588" w:rsidP="00A144AF">
      <w:pPr>
        <w:numPr>
          <w:ilvl w:val="0"/>
          <w:numId w:val="49"/>
        </w:numPr>
        <w:spacing w:after="0"/>
        <w:jc w:val="both"/>
        <w:rPr>
          <w:rFonts w:ascii="Arial" w:hAnsi="Arial" w:cs="Arial"/>
          <w:sz w:val="20"/>
          <w:szCs w:val="20"/>
        </w:rPr>
      </w:pPr>
      <w:r>
        <w:rPr>
          <w:rFonts w:ascii="Arial" w:hAnsi="Arial" w:cs="Arial"/>
          <w:sz w:val="20"/>
          <w:szCs w:val="20"/>
        </w:rPr>
        <w:t xml:space="preserve">se na trgu dogajajo spremembe, ki se odražajo v olajšanem </w:t>
      </w:r>
      <w:r w:rsidR="00A144AF">
        <w:rPr>
          <w:rFonts w:ascii="Arial" w:hAnsi="Arial" w:cs="Arial"/>
          <w:sz w:val="20"/>
          <w:szCs w:val="20"/>
        </w:rPr>
        <w:t>dostopu do virov financiranja,</w:t>
      </w:r>
    </w:p>
    <w:p w14:paraId="19C3C596" w14:textId="77777777" w:rsidR="00C87588" w:rsidRDefault="00C87588" w:rsidP="00C87588">
      <w:pPr>
        <w:numPr>
          <w:ilvl w:val="0"/>
          <w:numId w:val="49"/>
        </w:numPr>
        <w:spacing w:after="0"/>
        <w:jc w:val="both"/>
        <w:rPr>
          <w:rFonts w:ascii="Arial" w:hAnsi="Arial" w:cs="Arial"/>
          <w:sz w:val="20"/>
          <w:szCs w:val="20"/>
        </w:rPr>
      </w:pPr>
      <w:r>
        <w:rPr>
          <w:rFonts w:ascii="Arial" w:hAnsi="Arial" w:cs="Arial"/>
          <w:sz w:val="20"/>
          <w:szCs w:val="20"/>
        </w:rPr>
        <w:t xml:space="preserve">je v fazi priprave OP prišlo do prevelike alokacije sredstev na področju Vzhodne kohezijske regije, </w:t>
      </w:r>
    </w:p>
    <w:p w14:paraId="067FD527" w14:textId="097E8FDA" w:rsidR="00C87588" w:rsidRDefault="00C87588" w:rsidP="00C87588">
      <w:pPr>
        <w:numPr>
          <w:ilvl w:val="0"/>
          <w:numId w:val="49"/>
        </w:numPr>
        <w:spacing w:after="0"/>
        <w:jc w:val="both"/>
        <w:rPr>
          <w:rFonts w:ascii="Arial" w:hAnsi="Arial" w:cs="Arial"/>
          <w:sz w:val="20"/>
          <w:szCs w:val="20"/>
        </w:rPr>
      </w:pPr>
      <w:r>
        <w:rPr>
          <w:rFonts w:ascii="Arial" w:hAnsi="Arial" w:cs="Arial"/>
          <w:sz w:val="20"/>
          <w:szCs w:val="20"/>
        </w:rPr>
        <w:t xml:space="preserve">v času po sprejetju Operativnega progama in pripravi predhodne ocene </w:t>
      </w:r>
      <w:r w:rsidR="00A144AF">
        <w:rPr>
          <w:rFonts w:ascii="Arial" w:hAnsi="Arial" w:cs="Arial"/>
          <w:sz w:val="20"/>
          <w:szCs w:val="20"/>
        </w:rPr>
        <w:t xml:space="preserve">so bila v FI še dodatno </w:t>
      </w:r>
      <w:r>
        <w:rPr>
          <w:rFonts w:ascii="Arial" w:hAnsi="Arial" w:cs="Arial"/>
          <w:sz w:val="20"/>
          <w:szCs w:val="20"/>
        </w:rPr>
        <w:t xml:space="preserve">vplačana </w:t>
      </w:r>
      <w:r w:rsidR="00A144AF">
        <w:rPr>
          <w:rFonts w:ascii="Arial" w:hAnsi="Arial" w:cs="Arial"/>
          <w:sz w:val="20"/>
          <w:szCs w:val="20"/>
        </w:rPr>
        <w:t xml:space="preserve">sredstva </w:t>
      </w:r>
      <w:r>
        <w:rPr>
          <w:rFonts w:ascii="Arial" w:hAnsi="Arial" w:cs="Arial"/>
          <w:sz w:val="20"/>
          <w:szCs w:val="20"/>
        </w:rPr>
        <w:t>tako iz kohezijskih sredstev 2007–2013</w:t>
      </w:r>
      <w:r w:rsidR="00A144AF">
        <w:rPr>
          <w:rFonts w:ascii="Arial" w:hAnsi="Arial" w:cs="Arial"/>
          <w:sz w:val="20"/>
          <w:szCs w:val="20"/>
        </w:rPr>
        <w:t>,</w:t>
      </w:r>
      <w:r>
        <w:rPr>
          <w:rFonts w:ascii="Arial" w:hAnsi="Arial" w:cs="Arial"/>
          <w:sz w:val="20"/>
          <w:szCs w:val="20"/>
        </w:rPr>
        <w:t xml:space="preserve"> kot iz nacionalnega proračuna. Dodatno pa je pripravljena sistemska rešitev, da se bodo lahko sredstva iz </w:t>
      </w:r>
      <w:proofErr w:type="spellStart"/>
      <w:r>
        <w:rPr>
          <w:rFonts w:ascii="Arial" w:hAnsi="Arial" w:cs="Arial"/>
          <w:sz w:val="20"/>
          <w:szCs w:val="20"/>
        </w:rPr>
        <w:t>revolvinga</w:t>
      </w:r>
      <w:proofErr w:type="spellEnd"/>
      <w:r>
        <w:rPr>
          <w:rFonts w:ascii="Arial" w:hAnsi="Arial" w:cs="Arial"/>
          <w:sz w:val="20"/>
          <w:szCs w:val="20"/>
        </w:rPr>
        <w:t xml:space="preserve"> kohezijskih sredstev 2007–2013 še naprej uporabljala za izvajanje FI,</w:t>
      </w:r>
    </w:p>
    <w:p w14:paraId="7120DB7C" w14:textId="77777777" w:rsidR="00C87588" w:rsidRPr="003625FD" w:rsidRDefault="00C87588" w:rsidP="00C87588">
      <w:pPr>
        <w:numPr>
          <w:ilvl w:val="0"/>
          <w:numId w:val="49"/>
        </w:numPr>
        <w:spacing w:after="0"/>
        <w:jc w:val="both"/>
        <w:rPr>
          <w:rFonts w:ascii="Arial" w:hAnsi="Arial" w:cs="Arial"/>
          <w:sz w:val="20"/>
          <w:szCs w:val="20"/>
        </w:rPr>
      </w:pPr>
      <w:r>
        <w:rPr>
          <w:rFonts w:ascii="Arial" w:hAnsi="Arial" w:cs="Arial"/>
          <w:sz w:val="20"/>
          <w:szCs w:val="20"/>
        </w:rPr>
        <w:t xml:space="preserve">predstavlja stanje javnega dolga v Sloveniji in zaveze o njegovem zmanjševanju, resno oviro za izvajanje finančnih instrumentov v okviru javnega sektorja. </w:t>
      </w:r>
    </w:p>
    <w:p w14:paraId="1491053B" w14:textId="77777777" w:rsidR="00C87588" w:rsidRDefault="00C87588" w:rsidP="00C87588">
      <w:pPr>
        <w:pStyle w:val="Default"/>
      </w:pPr>
    </w:p>
    <w:p w14:paraId="1A82728A" w14:textId="7AF21D53" w:rsidR="00C87588" w:rsidRPr="004607B2" w:rsidRDefault="00C87588" w:rsidP="00C87588">
      <w:pPr>
        <w:jc w:val="both"/>
        <w:rPr>
          <w:rFonts w:ascii="Arial" w:hAnsi="Arial" w:cs="Arial"/>
          <w:sz w:val="20"/>
          <w:szCs w:val="20"/>
        </w:rPr>
      </w:pPr>
      <w:r w:rsidRPr="004607B2">
        <w:rPr>
          <w:rFonts w:ascii="Arial" w:hAnsi="Arial" w:cs="Arial"/>
          <w:sz w:val="20"/>
          <w:szCs w:val="20"/>
        </w:rPr>
        <w:t>Glede na ugotovlj</w:t>
      </w:r>
      <w:r>
        <w:rPr>
          <w:rFonts w:ascii="Arial" w:hAnsi="Arial" w:cs="Arial"/>
          <w:sz w:val="20"/>
          <w:szCs w:val="20"/>
        </w:rPr>
        <w:t>eno</w:t>
      </w:r>
      <w:r w:rsidRPr="004607B2">
        <w:rPr>
          <w:rFonts w:ascii="Arial" w:hAnsi="Arial" w:cs="Arial"/>
          <w:sz w:val="20"/>
          <w:szCs w:val="20"/>
        </w:rPr>
        <w:t xml:space="preserve"> in na podlagi predhodnih izkušenj s </w:t>
      </w:r>
      <w:r>
        <w:rPr>
          <w:rFonts w:ascii="Arial" w:hAnsi="Arial" w:cs="Arial"/>
          <w:sz w:val="20"/>
          <w:szCs w:val="20"/>
        </w:rPr>
        <w:t>FI</w:t>
      </w:r>
      <w:r w:rsidRPr="004607B2">
        <w:rPr>
          <w:rFonts w:ascii="Arial" w:hAnsi="Arial" w:cs="Arial"/>
          <w:sz w:val="20"/>
          <w:szCs w:val="20"/>
        </w:rPr>
        <w:t xml:space="preserve"> </w:t>
      </w:r>
      <w:r>
        <w:rPr>
          <w:rFonts w:ascii="Arial" w:hAnsi="Arial" w:cs="Arial"/>
          <w:sz w:val="20"/>
          <w:szCs w:val="20"/>
        </w:rPr>
        <w:t>organ upravljanja</w:t>
      </w:r>
      <w:r w:rsidRPr="004607B2">
        <w:rPr>
          <w:rFonts w:ascii="Arial" w:hAnsi="Arial" w:cs="Arial"/>
          <w:sz w:val="20"/>
          <w:szCs w:val="20"/>
        </w:rPr>
        <w:t xml:space="preserve"> predlaga, da se sredstva za izvajanje FI v okviru OP zmanjšajo predvsem v delu, ki naslavlja </w:t>
      </w:r>
      <w:r>
        <w:rPr>
          <w:rFonts w:ascii="Arial" w:hAnsi="Arial" w:cs="Arial"/>
          <w:sz w:val="20"/>
          <w:szCs w:val="20"/>
        </w:rPr>
        <w:t>podjetja. Zmanjšanje je predlagano v V</w:t>
      </w:r>
      <w:r w:rsidRPr="004607B2">
        <w:rPr>
          <w:rFonts w:ascii="Arial" w:hAnsi="Arial" w:cs="Arial"/>
          <w:sz w:val="20"/>
          <w:szCs w:val="20"/>
        </w:rPr>
        <w:t>zhodni kohez</w:t>
      </w:r>
      <w:r>
        <w:rPr>
          <w:rFonts w:ascii="Arial" w:hAnsi="Arial" w:cs="Arial"/>
          <w:sz w:val="20"/>
          <w:szCs w:val="20"/>
        </w:rPr>
        <w:t>ijski regiji, sredstva za FI v Z</w:t>
      </w:r>
      <w:r w:rsidRPr="004607B2">
        <w:rPr>
          <w:rFonts w:ascii="Arial" w:hAnsi="Arial" w:cs="Arial"/>
          <w:sz w:val="20"/>
          <w:szCs w:val="20"/>
        </w:rPr>
        <w:t xml:space="preserve">ahodni kohezijski regiji na tem področju ostanejo enaka. </w:t>
      </w:r>
      <w:r>
        <w:rPr>
          <w:rFonts w:ascii="Arial" w:hAnsi="Arial" w:cs="Arial"/>
          <w:sz w:val="20"/>
          <w:szCs w:val="20"/>
        </w:rPr>
        <w:t>Kot osnovo za zmanjšanje na prednostnih oseh 1 in 3 smo upoštevali razmerje v absorpcijski sposobnosti Vzhodne in Zahodne kohezijske regije glede na statistične podatke. Zaradi vpliva na javni dolg pa se zmanjšuje tudi obseg sredstev za prednostno os 4.</w:t>
      </w:r>
    </w:p>
    <w:p w14:paraId="1970E443" w14:textId="77777777" w:rsidR="00C87588" w:rsidRPr="00CA29D6" w:rsidRDefault="00C87588" w:rsidP="00C87588">
      <w:pPr>
        <w:jc w:val="both"/>
        <w:rPr>
          <w:rFonts w:ascii="Arial" w:hAnsi="Arial" w:cs="Arial"/>
          <w:sz w:val="20"/>
          <w:szCs w:val="20"/>
        </w:rPr>
      </w:pPr>
      <w:r w:rsidRPr="00CA29D6">
        <w:rPr>
          <w:rFonts w:ascii="Arial" w:hAnsi="Arial" w:cs="Arial"/>
          <w:sz w:val="20"/>
          <w:szCs w:val="20"/>
        </w:rPr>
        <w:t xml:space="preserve">V </w:t>
      </w:r>
      <w:r>
        <w:rPr>
          <w:rFonts w:ascii="Arial" w:hAnsi="Arial" w:cs="Arial"/>
          <w:sz w:val="20"/>
          <w:szCs w:val="20"/>
        </w:rPr>
        <w:t xml:space="preserve">okviru prednostne naložbe 2.1 </w:t>
      </w:r>
      <w:r w:rsidRPr="00A55D07">
        <w:rPr>
          <w:rFonts w:ascii="Arial" w:hAnsi="Arial" w:cs="Arial"/>
          <w:i/>
          <w:sz w:val="20"/>
          <w:szCs w:val="20"/>
        </w:rPr>
        <w:t xml:space="preserve">Širitev širokopasovnih storitev in uvajanje visoko hitrostnih omrežij </w:t>
      </w:r>
      <w:r w:rsidRPr="00CA29D6">
        <w:rPr>
          <w:rFonts w:ascii="Arial" w:hAnsi="Arial" w:cs="Arial"/>
          <w:sz w:val="20"/>
          <w:szCs w:val="20"/>
        </w:rPr>
        <w:t>je Ministrstvo za javno upravo v mesecu decembru 2016 zaključilo testiranje tržnega interesa za gradnjo širokopasovnih omrežij na področju Republike Slovenije v naslednjih treh letih</w:t>
      </w:r>
      <w:r>
        <w:rPr>
          <w:rFonts w:ascii="Arial" w:hAnsi="Arial" w:cs="Arial"/>
          <w:sz w:val="20"/>
          <w:szCs w:val="20"/>
        </w:rPr>
        <w:t>,</w:t>
      </w:r>
      <w:r w:rsidRPr="00CA29D6">
        <w:rPr>
          <w:rFonts w:ascii="Arial" w:hAnsi="Arial" w:cs="Arial"/>
          <w:sz w:val="20"/>
          <w:szCs w:val="20"/>
        </w:rPr>
        <w:t xml:space="preserve"> skladno z Načrtom razvoja širokopasovnih omrežij naslednje generacije do leta 2020. </w:t>
      </w:r>
      <w:r w:rsidRPr="00CA29D6">
        <w:rPr>
          <w:rFonts w:ascii="Arial" w:hAnsi="Arial" w:cs="Arial"/>
          <w:sz w:val="20"/>
          <w:szCs w:val="20"/>
        </w:rPr>
        <w:lastRenderedPageBreak/>
        <w:t>Izkazani velik tržni interes zasebnih investitorjev, posledično oblikovanje območij belih lis ter terminski načrt izvajanja nadaljnjih aktivnosti pri gradnji širokopasovnih omrežij naslednje generacije bistveno spreminjajo osnovne predpostavke, ki so bile podlaga pri pripravi OP. Skladno z zagotavljanjem predhodne pogojenosti je ugotovljeno, da za zagotovitev c</w:t>
      </w:r>
      <w:r>
        <w:rPr>
          <w:rFonts w:ascii="Arial" w:hAnsi="Arial" w:cs="Arial"/>
          <w:sz w:val="20"/>
          <w:szCs w:val="20"/>
        </w:rPr>
        <w:t xml:space="preserve">iljev niso </w:t>
      </w:r>
      <w:r w:rsidRPr="00C77199">
        <w:rPr>
          <w:rFonts w:ascii="Arial" w:hAnsi="Arial" w:cs="Arial"/>
          <w:sz w:val="20"/>
          <w:szCs w:val="20"/>
        </w:rPr>
        <w:t>potrebna vsa predvidena sredstva (50.018.277 evrov), pač pa se lahko zmanjšajo</w:t>
      </w:r>
      <w:r>
        <w:rPr>
          <w:rFonts w:ascii="Arial" w:hAnsi="Arial" w:cs="Arial"/>
          <w:sz w:val="20"/>
          <w:szCs w:val="20"/>
        </w:rPr>
        <w:t>.</w:t>
      </w:r>
    </w:p>
    <w:p w14:paraId="1AF1A6CC" w14:textId="77777777" w:rsidR="00C87588" w:rsidRPr="00B13DCC" w:rsidRDefault="00C87588" w:rsidP="00C87588">
      <w:pPr>
        <w:spacing w:after="120"/>
        <w:jc w:val="both"/>
        <w:rPr>
          <w:rFonts w:ascii="Arial" w:hAnsi="Arial" w:cs="Arial"/>
          <w:sz w:val="20"/>
          <w:szCs w:val="20"/>
          <w:lang w:eastAsia="ar-SA"/>
        </w:rPr>
      </w:pPr>
      <w:r w:rsidRPr="00CA29D6">
        <w:rPr>
          <w:rFonts w:ascii="Arial" w:hAnsi="Arial" w:cs="Arial"/>
          <w:sz w:val="20"/>
          <w:szCs w:val="20"/>
        </w:rPr>
        <w:t>V okviru prednostne naložbe 3.1</w:t>
      </w:r>
      <w:r>
        <w:rPr>
          <w:rFonts w:ascii="Arial" w:hAnsi="Arial" w:cs="Arial"/>
          <w:sz w:val="20"/>
          <w:szCs w:val="20"/>
        </w:rPr>
        <w:t xml:space="preserve"> </w:t>
      </w:r>
      <w:r w:rsidRPr="00A55D07">
        <w:rPr>
          <w:rFonts w:ascii="Arial" w:hAnsi="Arial" w:cs="Arial"/>
          <w:i/>
          <w:sz w:val="20"/>
          <w:szCs w:val="20"/>
        </w:rPr>
        <w:t>Spodbujanje podjetništva</w:t>
      </w:r>
      <w:r w:rsidRPr="00CA29D6">
        <w:rPr>
          <w:rFonts w:ascii="Arial" w:hAnsi="Arial" w:cs="Arial"/>
          <w:sz w:val="20"/>
          <w:szCs w:val="20"/>
        </w:rPr>
        <w:t xml:space="preserve"> </w:t>
      </w:r>
      <w:r>
        <w:rPr>
          <w:rFonts w:ascii="Arial" w:hAnsi="Arial" w:cs="Arial"/>
          <w:sz w:val="20"/>
          <w:szCs w:val="20"/>
        </w:rPr>
        <w:t>se predlaga p</w:t>
      </w:r>
      <w:r w:rsidRPr="00DA2344">
        <w:rPr>
          <w:rFonts w:ascii="Arial" w:hAnsi="Arial" w:cs="Arial"/>
          <w:sz w:val="20"/>
          <w:szCs w:val="20"/>
          <w:lang w:eastAsia="ar-SA"/>
        </w:rPr>
        <w:t>renos povratnih sredstev (FI) na nepovratna sredstva v znesku</w:t>
      </w:r>
      <w:r w:rsidRPr="00DA2344">
        <w:rPr>
          <w:rFonts w:ascii="Arial" w:hAnsi="Arial" w:cs="Arial"/>
          <w:b/>
          <w:sz w:val="20"/>
          <w:szCs w:val="20"/>
          <w:lang w:eastAsia="ar-SA"/>
        </w:rPr>
        <w:t xml:space="preserve"> </w:t>
      </w:r>
      <w:r>
        <w:rPr>
          <w:rFonts w:ascii="Arial" w:hAnsi="Arial" w:cs="Arial"/>
          <w:sz w:val="20"/>
          <w:szCs w:val="20"/>
        </w:rPr>
        <w:t>120</w:t>
      </w:r>
      <w:r w:rsidRPr="00DA2344">
        <w:rPr>
          <w:rFonts w:ascii="Arial" w:hAnsi="Arial" w:cs="Arial"/>
          <w:sz w:val="20"/>
          <w:szCs w:val="20"/>
        </w:rPr>
        <w:t>.000.000</w:t>
      </w:r>
      <w:r>
        <w:rPr>
          <w:rFonts w:ascii="Arial" w:hAnsi="Arial" w:cs="Arial"/>
          <w:sz w:val="20"/>
          <w:szCs w:val="20"/>
        </w:rPr>
        <w:t xml:space="preserve"> evrov</w:t>
      </w:r>
      <w:r w:rsidRPr="00DA2344">
        <w:rPr>
          <w:rFonts w:ascii="Arial" w:hAnsi="Arial" w:cs="Arial"/>
          <w:sz w:val="20"/>
          <w:szCs w:val="20"/>
        </w:rPr>
        <w:t xml:space="preserve"> sredstev </w:t>
      </w:r>
      <w:r w:rsidRPr="00DA2344">
        <w:rPr>
          <w:rFonts w:ascii="Arial" w:hAnsi="Arial" w:cs="Arial"/>
          <w:sz w:val="20"/>
          <w:szCs w:val="20"/>
          <w:lang w:eastAsia="ar-SA"/>
        </w:rPr>
        <w:t>ESRR in sice</w:t>
      </w:r>
      <w:r>
        <w:rPr>
          <w:rFonts w:ascii="Arial" w:hAnsi="Arial" w:cs="Arial"/>
          <w:sz w:val="20"/>
          <w:szCs w:val="20"/>
          <w:lang w:eastAsia="ar-SA"/>
        </w:rPr>
        <w:t>r v manj razviti regiji. Del sredstev ostaja kot nepovratna sredstva na tej prednostni naložb, del sredstev se nameni za ukrepe na področju odvajanja in čiščenja odpadnih voda v vzhodni kohezijski regiji, ter za i</w:t>
      </w:r>
      <w:r w:rsidRPr="00B13DCC">
        <w:rPr>
          <w:rFonts w:ascii="Arial" w:eastAsia="Times New Roman" w:hAnsi="Arial" w:cs="Arial"/>
          <w:bCs/>
          <w:sz w:val="20"/>
          <w:szCs w:val="20"/>
          <w:lang w:eastAsia="ar-SA"/>
        </w:rPr>
        <w:t>zboljšanje regionalne mobilnosti</w:t>
      </w:r>
      <w:r>
        <w:rPr>
          <w:rFonts w:ascii="Arial" w:eastAsia="Times New Roman" w:hAnsi="Arial" w:cs="Arial"/>
          <w:bCs/>
          <w:sz w:val="20"/>
          <w:szCs w:val="20"/>
          <w:lang w:eastAsia="ar-SA"/>
        </w:rPr>
        <w:t xml:space="preserve"> v vzhodni kohezijski regiji. </w:t>
      </w:r>
    </w:p>
    <w:p w14:paraId="4398AC63" w14:textId="27598A31" w:rsidR="00C87588" w:rsidRPr="003D0F7D" w:rsidRDefault="00C87588" w:rsidP="00C87588">
      <w:pPr>
        <w:spacing w:after="120"/>
        <w:jc w:val="both"/>
        <w:rPr>
          <w:rFonts w:ascii="Arial" w:hAnsi="Arial" w:cs="Arial"/>
          <w:sz w:val="20"/>
          <w:szCs w:val="20"/>
          <w:lang w:eastAsia="ar-SA"/>
        </w:rPr>
      </w:pPr>
      <w:r w:rsidRPr="003D0F7D">
        <w:rPr>
          <w:rFonts w:ascii="Arial" w:hAnsi="Arial" w:cs="Arial"/>
          <w:sz w:val="20"/>
          <w:szCs w:val="20"/>
          <w:lang w:eastAsia="ar-SA"/>
        </w:rPr>
        <w:t>Na področju ekonomsko poslovn</w:t>
      </w:r>
      <w:r>
        <w:rPr>
          <w:rFonts w:ascii="Arial" w:hAnsi="Arial" w:cs="Arial"/>
          <w:sz w:val="20"/>
          <w:szCs w:val="20"/>
          <w:lang w:eastAsia="ar-SA"/>
        </w:rPr>
        <w:t>e</w:t>
      </w:r>
      <w:r w:rsidRPr="003D0F7D">
        <w:rPr>
          <w:rFonts w:ascii="Arial" w:hAnsi="Arial" w:cs="Arial"/>
          <w:sz w:val="20"/>
          <w:szCs w:val="20"/>
          <w:lang w:eastAsia="ar-SA"/>
        </w:rPr>
        <w:t xml:space="preserve"> infrastrukture so z nižjim obsegom sredstev kazalniki že doseženi, tako da bodo razpoložljiva preostala sredstva predvidena za dosego teh ciljev (11.260.016,93 evrov v manj razviti regiji in 7.305.567,48 evrov v bolj razviti regiji) namenjena za projekte v okviru D</w:t>
      </w:r>
      <w:r>
        <w:rPr>
          <w:rFonts w:ascii="Arial" w:hAnsi="Arial" w:cs="Arial"/>
          <w:sz w:val="20"/>
          <w:szCs w:val="20"/>
          <w:lang w:eastAsia="ar-SA"/>
        </w:rPr>
        <w:t>RR.</w:t>
      </w:r>
    </w:p>
    <w:p w14:paraId="531A285B" w14:textId="0B276710" w:rsidR="00C87588" w:rsidRDefault="00C87588" w:rsidP="00C87588">
      <w:pPr>
        <w:autoSpaceDE w:val="0"/>
        <w:autoSpaceDN w:val="0"/>
        <w:adjustRightInd w:val="0"/>
        <w:spacing w:after="0"/>
        <w:jc w:val="both"/>
        <w:rPr>
          <w:rFonts w:ascii="Arial" w:hAnsi="Arial" w:cs="Arial"/>
          <w:sz w:val="20"/>
          <w:szCs w:val="20"/>
          <w:lang w:eastAsia="ar-SA"/>
        </w:rPr>
      </w:pPr>
      <w:r w:rsidRPr="00471DD0">
        <w:rPr>
          <w:rFonts w:ascii="Arial" w:hAnsi="Arial" w:cs="Arial"/>
          <w:sz w:val="20"/>
          <w:szCs w:val="20"/>
          <w:lang w:eastAsia="ar-SA"/>
        </w:rPr>
        <w:t>Pri izvajanju prednostne naložbe 4.1</w:t>
      </w:r>
      <w:r>
        <w:rPr>
          <w:rFonts w:ascii="Arial" w:hAnsi="Arial" w:cs="Arial"/>
          <w:sz w:val="20"/>
          <w:szCs w:val="20"/>
          <w:lang w:eastAsia="ar-SA"/>
        </w:rPr>
        <w:t xml:space="preserve"> </w:t>
      </w:r>
      <w:r w:rsidRPr="00895EAC">
        <w:rPr>
          <w:rFonts w:ascii="Arial" w:hAnsi="Arial" w:cs="Arial"/>
          <w:i/>
          <w:sz w:val="20"/>
          <w:szCs w:val="20"/>
          <w:lang w:eastAsia="ar-SA"/>
        </w:rPr>
        <w:t>Spodbujanje energetske učinkovitosti</w:t>
      </w:r>
      <w:r w:rsidRPr="00471DD0">
        <w:rPr>
          <w:rFonts w:ascii="Arial" w:hAnsi="Arial" w:cs="Arial"/>
          <w:sz w:val="20"/>
          <w:szCs w:val="20"/>
          <w:lang w:eastAsia="ar-SA"/>
        </w:rPr>
        <w:t xml:space="preserve"> se del sredstev v višini 25.000.000 evrov, ki je bil predviden za </w:t>
      </w:r>
      <w:r>
        <w:rPr>
          <w:rFonts w:ascii="Arial" w:hAnsi="Arial" w:cs="Arial"/>
          <w:sz w:val="20"/>
          <w:szCs w:val="20"/>
          <w:lang w:eastAsia="ar-SA"/>
        </w:rPr>
        <w:t>FI</w:t>
      </w:r>
      <w:r w:rsidRPr="00471DD0">
        <w:rPr>
          <w:rFonts w:ascii="Arial" w:hAnsi="Arial" w:cs="Arial"/>
          <w:sz w:val="20"/>
          <w:szCs w:val="20"/>
          <w:lang w:eastAsia="ar-SA"/>
        </w:rPr>
        <w:t xml:space="preserve"> nameni v obliki nepovratnih sredstev za sofinanciranje celovitih energetskih prenov stavb v lasti lokalnih skupnosti. Prenos sredstev je potrebe</w:t>
      </w:r>
      <w:r w:rsidR="00FB706E">
        <w:rPr>
          <w:rFonts w:ascii="Arial" w:hAnsi="Arial" w:cs="Arial"/>
          <w:sz w:val="20"/>
          <w:szCs w:val="20"/>
          <w:lang w:eastAsia="ar-SA"/>
        </w:rPr>
        <w:t xml:space="preserve">n, ker se projekti na področju </w:t>
      </w:r>
      <w:r w:rsidRPr="00471DD0">
        <w:rPr>
          <w:rFonts w:ascii="Arial" w:hAnsi="Arial" w:cs="Arial"/>
          <w:sz w:val="20"/>
          <w:szCs w:val="20"/>
          <w:lang w:eastAsia="ar-SA"/>
        </w:rPr>
        <w:t xml:space="preserve">energetskih sanacij javnih stavb izvajajo po modelu energetskega </w:t>
      </w:r>
      <w:proofErr w:type="spellStart"/>
      <w:r w:rsidRPr="00471DD0">
        <w:rPr>
          <w:rFonts w:ascii="Arial" w:hAnsi="Arial" w:cs="Arial"/>
          <w:sz w:val="20"/>
          <w:szCs w:val="20"/>
          <w:lang w:eastAsia="ar-SA"/>
        </w:rPr>
        <w:t>pogodbeništva</w:t>
      </w:r>
      <w:proofErr w:type="spellEnd"/>
      <w:r w:rsidRPr="00471DD0">
        <w:rPr>
          <w:rFonts w:ascii="Arial" w:hAnsi="Arial" w:cs="Arial"/>
          <w:sz w:val="20"/>
          <w:szCs w:val="20"/>
          <w:lang w:eastAsia="ar-SA"/>
        </w:rPr>
        <w:t xml:space="preserve">. Hkratno financiranje projektov z nepovratnimi sredstvi in s sredstvi </w:t>
      </w:r>
      <w:r>
        <w:rPr>
          <w:rFonts w:ascii="Arial" w:hAnsi="Arial" w:cs="Arial"/>
          <w:sz w:val="20"/>
          <w:szCs w:val="20"/>
          <w:lang w:eastAsia="ar-SA"/>
        </w:rPr>
        <w:t>FI</w:t>
      </w:r>
      <w:r w:rsidRPr="00471DD0">
        <w:rPr>
          <w:rFonts w:ascii="Arial" w:hAnsi="Arial" w:cs="Arial"/>
          <w:sz w:val="20"/>
          <w:szCs w:val="20"/>
          <w:lang w:eastAsia="ar-SA"/>
        </w:rPr>
        <w:t xml:space="preserve"> na isti operaciji bi skupaj predstavljalo več kot 50</w:t>
      </w:r>
      <w:r>
        <w:rPr>
          <w:rFonts w:ascii="Arial" w:hAnsi="Arial" w:cs="Arial"/>
          <w:sz w:val="20"/>
          <w:szCs w:val="20"/>
          <w:lang w:eastAsia="ar-SA"/>
        </w:rPr>
        <w:t xml:space="preserve"> </w:t>
      </w:r>
      <w:r w:rsidRPr="00471DD0">
        <w:rPr>
          <w:rFonts w:ascii="Arial" w:hAnsi="Arial" w:cs="Arial"/>
          <w:sz w:val="20"/>
          <w:szCs w:val="20"/>
          <w:lang w:eastAsia="ar-SA"/>
        </w:rPr>
        <w:t>% vrednosti investicije. S tem bi se tveganje financiranja posameznega projekta preneslo na javnega partnerja in v tem primeru izvedba pr</w:t>
      </w:r>
      <w:r>
        <w:rPr>
          <w:rFonts w:ascii="Arial" w:hAnsi="Arial" w:cs="Arial"/>
          <w:sz w:val="20"/>
          <w:szCs w:val="20"/>
          <w:lang w:eastAsia="ar-SA"/>
        </w:rPr>
        <w:t>ojekta po modelu koncesijskega javno zasebnega partnerstva</w:t>
      </w:r>
      <w:r w:rsidRPr="00471DD0">
        <w:rPr>
          <w:rFonts w:ascii="Arial" w:hAnsi="Arial" w:cs="Arial"/>
          <w:sz w:val="20"/>
          <w:szCs w:val="20"/>
          <w:lang w:eastAsia="ar-SA"/>
        </w:rPr>
        <w:t xml:space="preserve"> ni mogoča. Iz tega razloga se ugotavlja, da je potrebno del predvidenih sredstev za FI zmanjšati.</w:t>
      </w:r>
    </w:p>
    <w:p w14:paraId="2D8B1575" w14:textId="77777777" w:rsidR="00C87588" w:rsidRDefault="00C87588" w:rsidP="00C87588">
      <w:pPr>
        <w:autoSpaceDE w:val="0"/>
        <w:autoSpaceDN w:val="0"/>
        <w:adjustRightInd w:val="0"/>
        <w:spacing w:after="0"/>
        <w:jc w:val="both"/>
        <w:rPr>
          <w:rFonts w:ascii="Arial" w:hAnsi="Arial" w:cs="Arial"/>
          <w:sz w:val="20"/>
          <w:szCs w:val="20"/>
          <w:lang w:eastAsia="ar-SA"/>
        </w:rPr>
      </w:pPr>
    </w:p>
    <w:p w14:paraId="4BC300A5" w14:textId="68B42DAA" w:rsidR="00C87588" w:rsidRPr="00A203EF" w:rsidRDefault="00C87588" w:rsidP="00C87588">
      <w:pPr>
        <w:jc w:val="both"/>
        <w:rPr>
          <w:rFonts w:ascii="Arial" w:hAnsi="Arial" w:cs="Arial"/>
          <w:sz w:val="20"/>
          <w:szCs w:val="20"/>
          <w:lang w:eastAsia="ar-SA"/>
        </w:rPr>
      </w:pPr>
      <w:r w:rsidRPr="00A203EF">
        <w:rPr>
          <w:rFonts w:ascii="Arial" w:hAnsi="Arial" w:cs="Arial"/>
          <w:sz w:val="20"/>
          <w:szCs w:val="20"/>
          <w:lang w:eastAsia="ar-SA"/>
        </w:rPr>
        <w:t xml:space="preserve">Na prednostni naložbi 4.4 </w:t>
      </w:r>
      <w:r w:rsidRPr="00FB706E">
        <w:rPr>
          <w:rFonts w:ascii="Arial" w:hAnsi="Arial" w:cs="Arial"/>
          <w:i/>
          <w:sz w:val="20"/>
          <w:szCs w:val="20"/>
          <w:lang w:eastAsia="ar-SA"/>
        </w:rPr>
        <w:t xml:space="preserve">Spodbujanje </w:t>
      </w:r>
      <w:proofErr w:type="spellStart"/>
      <w:r w:rsidRPr="00FB706E">
        <w:rPr>
          <w:rFonts w:ascii="Arial" w:hAnsi="Arial" w:cs="Arial"/>
          <w:i/>
          <w:sz w:val="20"/>
          <w:szCs w:val="20"/>
          <w:lang w:eastAsia="ar-SA"/>
        </w:rPr>
        <w:t>nizkoogljičnih</w:t>
      </w:r>
      <w:proofErr w:type="spellEnd"/>
      <w:r w:rsidRPr="00FB706E">
        <w:rPr>
          <w:rFonts w:ascii="Arial" w:hAnsi="Arial" w:cs="Arial"/>
          <w:i/>
          <w:sz w:val="20"/>
          <w:szCs w:val="20"/>
          <w:lang w:eastAsia="ar-SA"/>
        </w:rPr>
        <w:t xml:space="preserve"> strategij za vse vrste območij, zlasti za urbana območja, vključno s spodbujanjem trajnostne </w:t>
      </w:r>
      <w:proofErr w:type="spellStart"/>
      <w:r w:rsidRPr="00FB706E">
        <w:rPr>
          <w:rFonts w:ascii="Arial" w:hAnsi="Arial" w:cs="Arial"/>
          <w:i/>
          <w:sz w:val="20"/>
          <w:szCs w:val="20"/>
          <w:lang w:eastAsia="ar-SA"/>
        </w:rPr>
        <w:t>multimodalne</w:t>
      </w:r>
      <w:proofErr w:type="spellEnd"/>
      <w:r w:rsidRPr="00FB706E">
        <w:rPr>
          <w:rFonts w:ascii="Arial" w:hAnsi="Arial" w:cs="Arial"/>
          <w:i/>
          <w:sz w:val="20"/>
          <w:szCs w:val="20"/>
          <w:lang w:eastAsia="ar-SA"/>
        </w:rPr>
        <w:t xml:space="preserve"> urbane mobilnosti</w:t>
      </w:r>
      <w:r w:rsidRPr="00A203EF">
        <w:rPr>
          <w:rFonts w:ascii="Arial" w:hAnsi="Arial" w:cs="Arial"/>
          <w:sz w:val="20"/>
          <w:szCs w:val="20"/>
          <w:lang w:eastAsia="ar-SA"/>
        </w:rPr>
        <w:t xml:space="preserve"> se nameni sredstva </w:t>
      </w:r>
      <w:r w:rsidR="00A144AF" w:rsidRPr="00A144AF">
        <w:rPr>
          <w:rFonts w:ascii="Arial" w:hAnsi="Arial" w:cs="Arial"/>
          <w:sz w:val="20"/>
          <w:szCs w:val="20"/>
          <w:lang w:eastAsia="ar-SA"/>
        </w:rPr>
        <w:t>za dodatna</w:t>
      </w:r>
      <w:r w:rsidRPr="00A144AF">
        <w:rPr>
          <w:rFonts w:ascii="Arial" w:hAnsi="Arial" w:cs="Arial"/>
          <w:sz w:val="20"/>
          <w:szCs w:val="20"/>
          <w:lang w:eastAsia="ar-SA"/>
        </w:rPr>
        <w:t xml:space="preserve"> ukrep</w:t>
      </w:r>
      <w:r w:rsidR="00A144AF" w:rsidRPr="00A144AF">
        <w:rPr>
          <w:rFonts w:ascii="Arial" w:hAnsi="Arial" w:cs="Arial"/>
          <w:sz w:val="20"/>
          <w:szCs w:val="20"/>
          <w:lang w:eastAsia="ar-SA"/>
        </w:rPr>
        <w:t>a</w:t>
      </w:r>
      <w:r w:rsidRPr="00A144AF">
        <w:rPr>
          <w:rFonts w:ascii="Arial" w:hAnsi="Arial" w:cs="Arial"/>
          <w:sz w:val="20"/>
          <w:szCs w:val="20"/>
          <w:lang w:eastAsia="ar-SA"/>
        </w:rPr>
        <w:t xml:space="preserve"> v OP</w:t>
      </w:r>
      <w:r w:rsidRPr="00A203EF">
        <w:rPr>
          <w:rFonts w:ascii="Arial" w:hAnsi="Arial" w:cs="Arial"/>
          <w:sz w:val="20"/>
          <w:szCs w:val="20"/>
          <w:lang w:eastAsia="ar-SA"/>
        </w:rPr>
        <w:t xml:space="preserve"> in sicer v ukrep gradnje</w:t>
      </w:r>
      <w:r>
        <w:rPr>
          <w:rFonts w:ascii="Arial" w:hAnsi="Arial" w:cs="Arial"/>
          <w:sz w:val="20"/>
          <w:szCs w:val="20"/>
          <w:lang w:eastAsia="ar-SA"/>
        </w:rPr>
        <w:t xml:space="preserve"> </w:t>
      </w:r>
      <w:r w:rsidRPr="00A203EF">
        <w:rPr>
          <w:rFonts w:ascii="Arial" w:hAnsi="Arial" w:cs="Arial"/>
          <w:sz w:val="20"/>
          <w:szCs w:val="20"/>
          <w:lang w:eastAsia="ar-SA"/>
        </w:rPr>
        <w:t>/</w:t>
      </w:r>
      <w:r>
        <w:rPr>
          <w:rFonts w:ascii="Arial" w:hAnsi="Arial" w:cs="Arial"/>
          <w:sz w:val="20"/>
          <w:szCs w:val="20"/>
          <w:lang w:eastAsia="ar-SA"/>
        </w:rPr>
        <w:t xml:space="preserve"> </w:t>
      </w:r>
      <w:r w:rsidRPr="00A203EF">
        <w:rPr>
          <w:rFonts w:ascii="Arial" w:hAnsi="Arial" w:cs="Arial"/>
          <w:sz w:val="20"/>
          <w:szCs w:val="20"/>
          <w:lang w:eastAsia="ar-SA"/>
        </w:rPr>
        <w:t>ureditve sklenjenih regionalnih kolesarskih povezav za namen dnevne mobilnosti</w:t>
      </w:r>
      <w:r w:rsidRPr="007628AC">
        <w:rPr>
          <w:rFonts w:ascii="Arial" w:hAnsi="Arial" w:cs="Arial"/>
          <w:sz w:val="20"/>
          <w:szCs w:val="20"/>
          <w:lang w:eastAsia="ar-SA"/>
        </w:rPr>
        <w:t xml:space="preserve"> </w:t>
      </w:r>
      <w:r>
        <w:rPr>
          <w:rFonts w:ascii="Arial" w:hAnsi="Arial" w:cs="Arial"/>
          <w:sz w:val="20"/>
          <w:szCs w:val="20"/>
          <w:lang w:eastAsia="ar-SA"/>
        </w:rPr>
        <w:t xml:space="preserve">in ukrep </w:t>
      </w:r>
      <w:r w:rsidRPr="00F979EE">
        <w:rPr>
          <w:rFonts w:ascii="Arial" w:hAnsi="Arial" w:cs="Arial"/>
          <w:sz w:val="20"/>
          <w:szCs w:val="20"/>
          <w:lang w:eastAsia="ar-SA"/>
        </w:rPr>
        <w:t>e</w:t>
      </w:r>
      <w:r>
        <w:rPr>
          <w:rFonts w:ascii="Arial" w:hAnsi="Arial" w:cs="Arial"/>
          <w:sz w:val="20"/>
          <w:szCs w:val="20"/>
          <w:lang w:eastAsia="ar-SA"/>
        </w:rPr>
        <w:t>-</w:t>
      </w:r>
      <w:r w:rsidRPr="00F979EE">
        <w:rPr>
          <w:rFonts w:ascii="Arial" w:hAnsi="Arial" w:cs="Arial"/>
          <w:sz w:val="20"/>
          <w:szCs w:val="20"/>
          <w:lang w:eastAsia="ar-SA"/>
        </w:rPr>
        <w:t>mobilnosti javnega potniškega prometa</w:t>
      </w:r>
      <w:r>
        <w:rPr>
          <w:rFonts w:ascii="Arial" w:hAnsi="Arial" w:cs="Arial"/>
          <w:sz w:val="20"/>
          <w:szCs w:val="20"/>
          <w:lang w:eastAsia="ar-SA"/>
        </w:rPr>
        <w:t xml:space="preserve"> za projekte v okviru DRR.</w:t>
      </w:r>
    </w:p>
    <w:p w14:paraId="12FC9D4D" w14:textId="77777777" w:rsidR="00C87588" w:rsidRPr="00CA29D6" w:rsidRDefault="00C87588" w:rsidP="00C87588">
      <w:pPr>
        <w:spacing w:after="0"/>
        <w:jc w:val="both"/>
        <w:rPr>
          <w:rFonts w:ascii="Arial" w:hAnsi="Arial" w:cs="Arial"/>
          <w:sz w:val="20"/>
          <w:szCs w:val="20"/>
        </w:rPr>
      </w:pPr>
      <w:r w:rsidRPr="00CA29D6">
        <w:rPr>
          <w:rFonts w:ascii="Arial" w:hAnsi="Arial" w:cs="Arial"/>
          <w:sz w:val="20"/>
          <w:szCs w:val="20"/>
        </w:rPr>
        <w:t xml:space="preserve">Na prednostni naložbi 7.1 </w:t>
      </w:r>
      <w:r w:rsidRPr="00895EAC">
        <w:rPr>
          <w:rFonts w:ascii="Arial" w:hAnsi="Arial" w:cs="Arial"/>
          <w:i/>
          <w:sz w:val="20"/>
          <w:szCs w:val="20"/>
        </w:rPr>
        <w:t>Razvoj in obnova celostnih železniških sistemov</w:t>
      </w:r>
      <w:r w:rsidRPr="00CA29D6">
        <w:rPr>
          <w:rFonts w:ascii="Arial" w:hAnsi="Arial" w:cs="Arial"/>
          <w:sz w:val="20"/>
          <w:szCs w:val="20"/>
        </w:rPr>
        <w:t xml:space="preserve"> je </w:t>
      </w:r>
      <w:r>
        <w:rPr>
          <w:rFonts w:ascii="Arial" w:hAnsi="Arial" w:cs="Arial"/>
          <w:sz w:val="20"/>
          <w:szCs w:val="20"/>
        </w:rPr>
        <w:t xml:space="preserve">bil </w:t>
      </w:r>
      <w:r w:rsidRPr="00CA29D6">
        <w:rPr>
          <w:rFonts w:ascii="Arial" w:hAnsi="Arial" w:cs="Arial"/>
          <w:sz w:val="20"/>
          <w:szCs w:val="20"/>
        </w:rPr>
        <w:t>projekt Nadgradnj</w:t>
      </w:r>
      <w:r>
        <w:rPr>
          <w:rFonts w:ascii="Arial" w:hAnsi="Arial" w:cs="Arial"/>
          <w:sz w:val="20"/>
          <w:szCs w:val="20"/>
        </w:rPr>
        <w:t>a</w:t>
      </w:r>
      <w:r w:rsidRPr="00CA29D6">
        <w:rPr>
          <w:rFonts w:ascii="Arial" w:hAnsi="Arial" w:cs="Arial"/>
          <w:sz w:val="20"/>
          <w:szCs w:val="20"/>
        </w:rPr>
        <w:t xml:space="preserve"> železniške proge Zidani Most Celje</w:t>
      </w:r>
      <w:r>
        <w:rPr>
          <w:rFonts w:ascii="Arial" w:hAnsi="Arial" w:cs="Arial"/>
          <w:sz w:val="20"/>
          <w:szCs w:val="20"/>
        </w:rPr>
        <w:t>,</w:t>
      </w:r>
      <w:r w:rsidRPr="00CA29D6">
        <w:rPr>
          <w:rFonts w:ascii="Arial" w:hAnsi="Arial" w:cs="Arial"/>
          <w:sz w:val="20"/>
          <w:szCs w:val="20"/>
        </w:rPr>
        <w:t xml:space="preserve"> ki je bil prvotno predviden za financiranje v okviru OP,</w:t>
      </w:r>
      <w:r>
        <w:rPr>
          <w:rFonts w:ascii="Arial" w:hAnsi="Arial" w:cs="Arial"/>
          <w:sz w:val="20"/>
          <w:szCs w:val="20"/>
        </w:rPr>
        <w:t xml:space="preserve"> uspešen na razpisu</w:t>
      </w:r>
      <w:r w:rsidRPr="00CA29D6">
        <w:rPr>
          <w:rFonts w:ascii="Arial" w:hAnsi="Arial" w:cs="Arial"/>
          <w:sz w:val="20"/>
          <w:szCs w:val="20"/>
        </w:rPr>
        <w:t xml:space="preserve"> </w:t>
      </w:r>
      <w:r>
        <w:rPr>
          <w:rFonts w:ascii="Arial" w:hAnsi="Arial" w:cs="Arial"/>
          <w:sz w:val="20"/>
          <w:szCs w:val="20"/>
        </w:rPr>
        <w:t>za</w:t>
      </w:r>
      <w:r w:rsidRPr="00CA29D6">
        <w:rPr>
          <w:rFonts w:ascii="Arial" w:hAnsi="Arial" w:cs="Arial"/>
          <w:sz w:val="20"/>
          <w:szCs w:val="20"/>
        </w:rPr>
        <w:t xml:space="preserve"> sredstva IPE (instrument za povezovanje Evrope). V OP 2014</w:t>
      </w:r>
      <w:r>
        <w:rPr>
          <w:rFonts w:ascii="Arial" w:hAnsi="Arial" w:cs="Arial"/>
          <w:sz w:val="20"/>
          <w:szCs w:val="20"/>
        </w:rPr>
        <w:t>–</w:t>
      </w:r>
      <w:r w:rsidRPr="00CA29D6">
        <w:rPr>
          <w:rFonts w:ascii="Arial" w:hAnsi="Arial" w:cs="Arial"/>
          <w:sz w:val="20"/>
          <w:szCs w:val="20"/>
        </w:rPr>
        <w:t xml:space="preserve">2020 je </w:t>
      </w:r>
      <w:r>
        <w:rPr>
          <w:rFonts w:ascii="Arial" w:hAnsi="Arial" w:cs="Arial"/>
          <w:sz w:val="20"/>
          <w:szCs w:val="20"/>
        </w:rPr>
        <w:t xml:space="preserve">zato </w:t>
      </w:r>
      <w:r w:rsidRPr="00CA29D6">
        <w:rPr>
          <w:rFonts w:ascii="Arial" w:hAnsi="Arial" w:cs="Arial"/>
          <w:sz w:val="20"/>
          <w:szCs w:val="20"/>
        </w:rPr>
        <w:t>potrebna sprememba kazalnikov in ustrezna uskladitev vsebin na tem področju.</w:t>
      </w:r>
    </w:p>
    <w:p w14:paraId="002B40E8" w14:textId="77777777" w:rsidR="00C87588" w:rsidRPr="00774BA9" w:rsidRDefault="00C87588" w:rsidP="00C87588">
      <w:pPr>
        <w:autoSpaceDE w:val="0"/>
        <w:autoSpaceDN w:val="0"/>
        <w:adjustRightInd w:val="0"/>
        <w:spacing w:after="0" w:line="240" w:lineRule="auto"/>
        <w:ind w:left="360"/>
        <w:contextualSpacing/>
        <w:jc w:val="both"/>
        <w:rPr>
          <w:rFonts w:ascii="Arial" w:eastAsiaTheme="minorHAnsi" w:hAnsi="Arial" w:cs="Arial"/>
          <w:sz w:val="20"/>
          <w:szCs w:val="20"/>
        </w:rPr>
      </w:pPr>
    </w:p>
    <w:p w14:paraId="1665C506" w14:textId="78B1A67E" w:rsidR="00C87588" w:rsidRPr="00CA29D6" w:rsidRDefault="00C87588" w:rsidP="00C87588">
      <w:pPr>
        <w:jc w:val="both"/>
        <w:rPr>
          <w:rFonts w:ascii="Arial" w:hAnsi="Arial" w:cs="Arial"/>
          <w:sz w:val="20"/>
          <w:szCs w:val="20"/>
        </w:rPr>
      </w:pPr>
      <w:r w:rsidRPr="00CA29D6">
        <w:rPr>
          <w:rFonts w:ascii="Arial" w:hAnsi="Arial" w:cs="Arial"/>
          <w:sz w:val="20"/>
          <w:szCs w:val="20"/>
        </w:rPr>
        <w:t xml:space="preserve">V okviru predhodne pogojenosti je bila izdelana Strategija razvoja prometa v Republiki </w:t>
      </w:r>
      <w:r>
        <w:rPr>
          <w:rFonts w:ascii="Arial" w:hAnsi="Arial" w:cs="Arial"/>
          <w:sz w:val="20"/>
          <w:szCs w:val="20"/>
        </w:rPr>
        <w:t>Sloveniji, kjer je bilo na podla</w:t>
      </w:r>
      <w:r w:rsidRPr="00CA29D6">
        <w:rPr>
          <w:rFonts w:ascii="Arial" w:hAnsi="Arial" w:cs="Arial"/>
          <w:sz w:val="20"/>
          <w:szCs w:val="20"/>
        </w:rPr>
        <w:t>gi študije o prometnih tokovih in prometnega modela ugotovljeno, da postaja ključno ozko grlo na prome</w:t>
      </w:r>
      <w:r w:rsidR="001661D1">
        <w:rPr>
          <w:rFonts w:ascii="Arial" w:hAnsi="Arial" w:cs="Arial"/>
          <w:sz w:val="20"/>
          <w:szCs w:val="20"/>
        </w:rPr>
        <w:t xml:space="preserve">tni infrastrukturi območje med </w:t>
      </w:r>
      <w:r w:rsidRPr="00CA29D6">
        <w:rPr>
          <w:rFonts w:ascii="Arial" w:hAnsi="Arial" w:cs="Arial"/>
          <w:sz w:val="20"/>
          <w:szCs w:val="20"/>
        </w:rPr>
        <w:t>Koprom in Divačo. S spremembo OP se razporeja del sredste</w:t>
      </w:r>
      <w:r w:rsidR="001661D1">
        <w:rPr>
          <w:rFonts w:ascii="Arial" w:hAnsi="Arial" w:cs="Arial"/>
          <w:sz w:val="20"/>
          <w:szCs w:val="20"/>
        </w:rPr>
        <w:t xml:space="preserve">v na prednostno naložbo 7.1 </w:t>
      </w:r>
      <w:r w:rsidRPr="00CA29D6">
        <w:rPr>
          <w:rFonts w:ascii="Arial" w:hAnsi="Arial" w:cs="Arial"/>
          <w:sz w:val="20"/>
          <w:szCs w:val="20"/>
        </w:rPr>
        <w:t xml:space="preserve">tudi za projekt 2. tira med Divačo in Koprom, ki bo odpravil navedeno ozko grlo. </w:t>
      </w:r>
    </w:p>
    <w:p w14:paraId="59442842" w14:textId="77777777" w:rsidR="00C87588" w:rsidRPr="00CA29D6" w:rsidRDefault="00C87588" w:rsidP="00C87588">
      <w:pPr>
        <w:jc w:val="both"/>
        <w:rPr>
          <w:rFonts w:ascii="Arial" w:hAnsi="Arial" w:cs="Arial"/>
          <w:sz w:val="20"/>
          <w:szCs w:val="20"/>
        </w:rPr>
      </w:pPr>
      <w:r w:rsidRPr="00CA29D6">
        <w:rPr>
          <w:rFonts w:ascii="Arial" w:hAnsi="Arial" w:cs="Arial"/>
          <w:sz w:val="20"/>
          <w:szCs w:val="20"/>
        </w:rPr>
        <w:t xml:space="preserve">Iz Strategije razvoja prometa v Republiki Sloveniji izhaja, da je potrebno zagotoviti izgradnjo manjkajoče cestne infrastrukture, ki je predpogoj za učinkovito implementacijo ostalih predvidenih ukrepov. Spodbujanje trajnostnega prometa in odprava ozkih grl na prometni infrastrukturi je eden od predpogojev za normalno delovanje poslovnega okolja. Z namenom krepitve regionalnih razvojnih potencialov in ohranjanja delovnih mest se želi zagotoviti boljšo dostopnost do obstoječega TEN-T omrežja, izboljšati dostopnost ljudi in razvoj gospodarstva v vseh regijah v Republiki Sloveniji. Investicije v te projekte imajo velik pomen za razvoj </w:t>
      </w:r>
      <w:r w:rsidRPr="00CA29D6">
        <w:rPr>
          <w:rFonts w:ascii="Arial" w:hAnsi="Arial" w:cs="Arial"/>
          <w:sz w:val="20"/>
          <w:szCs w:val="20"/>
        </w:rPr>
        <w:lastRenderedPageBreak/>
        <w:t>posameznih regij, tako z demografskega, kot tudi gospodarskega in okoljskega vidika. Prednostno se predvideva izgradnja manjkajoče cestne infrastrukture, ki ima širši regionalni vpliv in pospešitev priprave projekta izgradnje 3. razvojni osi.</w:t>
      </w:r>
    </w:p>
    <w:p w14:paraId="26C95336" w14:textId="77777777" w:rsidR="00C87588" w:rsidRPr="00240AF6" w:rsidRDefault="00C87588" w:rsidP="00C87588">
      <w:pPr>
        <w:autoSpaceDE w:val="0"/>
        <w:autoSpaceDN w:val="0"/>
        <w:adjustRightInd w:val="0"/>
        <w:spacing w:after="0" w:line="240" w:lineRule="auto"/>
        <w:jc w:val="both"/>
        <w:rPr>
          <w:rFonts w:ascii="Arial" w:eastAsiaTheme="minorHAnsi" w:hAnsi="Arial" w:cs="Arial"/>
          <w:sz w:val="20"/>
          <w:szCs w:val="20"/>
        </w:rPr>
      </w:pPr>
    </w:p>
    <w:p w14:paraId="148A0581" w14:textId="77777777" w:rsidR="00C87588" w:rsidRPr="00240AF6" w:rsidRDefault="00C87588" w:rsidP="00C87588">
      <w:pPr>
        <w:numPr>
          <w:ilvl w:val="0"/>
          <w:numId w:val="11"/>
        </w:numPr>
        <w:spacing w:after="0" w:line="260" w:lineRule="atLeast"/>
        <w:ind w:hanging="720"/>
        <w:contextualSpacing/>
        <w:jc w:val="both"/>
        <w:rPr>
          <w:rFonts w:ascii="Arial" w:eastAsia="Times New Roman" w:hAnsi="Arial" w:cstheme="minorBidi"/>
          <w:b/>
          <w:sz w:val="20"/>
          <w:szCs w:val="24"/>
        </w:rPr>
      </w:pPr>
      <w:r w:rsidRPr="00240AF6">
        <w:rPr>
          <w:rFonts w:ascii="Arial" w:eastAsia="Times New Roman" w:hAnsi="Arial" w:cstheme="minorBidi"/>
          <w:b/>
          <w:sz w:val="20"/>
          <w:szCs w:val="24"/>
        </w:rPr>
        <w:t>Doseganje okvirja uspešnosti</w:t>
      </w:r>
    </w:p>
    <w:p w14:paraId="0E01D2E6" w14:textId="77777777" w:rsidR="00C87588" w:rsidRPr="00240AF6" w:rsidRDefault="00C87588" w:rsidP="00C87588">
      <w:pPr>
        <w:spacing w:after="0" w:line="260" w:lineRule="atLeast"/>
        <w:ind w:left="720"/>
        <w:contextualSpacing/>
        <w:jc w:val="both"/>
        <w:rPr>
          <w:rFonts w:ascii="Arial" w:eastAsia="Times New Roman" w:hAnsi="Arial" w:cstheme="minorBidi"/>
          <w:b/>
          <w:sz w:val="20"/>
          <w:szCs w:val="24"/>
        </w:rPr>
      </w:pPr>
    </w:p>
    <w:p w14:paraId="77047B65" w14:textId="77777777" w:rsidR="00C87588" w:rsidRDefault="00C87588" w:rsidP="00C87588">
      <w:pPr>
        <w:spacing w:after="120"/>
        <w:jc w:val="both"/>
        <w:rPr>
          <w:rFonts w:ascii="Arial" w:hAnsi="Arial" w:cs="Arial"/>
          <w:sz w:val="20"/>
          <w:szCs w:val="20"/>
        </w:rPr>
      </w:pPr>
      <w:r>
        <w:rPr>
          <w:rFonts w:ascii="Arial" w:hAnsi="Arial" w:cs="Arial"/>
          <w:sz w:val="20"/>
          <w:szCs w:val="20"/>
        </w:rPr>
        <w:t>Skladno z 21. členom Uredbe EU 1303/2013 bo EK</w:t>
      </w:r>
      <w:r w:rsidRPr="0089324F">
        <w:rPr>
          <w:rFonts w:ascii="Arial" w:hAnsi="Arial" w:cs="Arial"/>
          <w:sz w:val="20"/>
          <w:szCs w:val="20"/>
        </w:rPr>
        <w:t xml:space="preserve"> </w:t>
      </w:r>
      <w:r>
        <w:rPr>
          <w:rFonts w:ascii="Arial" w:hAnsi="Arial" w:cs="Arial"/>
          <w:sz w:val="20"/>
          <w:szCs w:val="20"/>
        </w:rPr>
        <w:t xml:space="preserve">leta 2018 </w:t>
      </w:r>
      <w:r w:rsidRPr="0089324F">
        <w:rPr>
          <w:rFonts w:ascii="Arial" w:hAnsi="Arial" w:cs="Arial"/>
          <w:sz w:val="20"/>
          <w:szCs w:val="20"/>
        </w:rPr>
        <w:t>v sodelovanju z državami članicami opravi</w:t>
      </w:r>
      <w:r>
        <w:rPr>
          <w:rFonts w:ascii="Arial" w:hAnsi="Arial" w:cs="Arial"/>
          <w:sz w:val="20"/>
          <w:szCs w:val="20"/>
        </w:rPr>
        <w:t>la</w:t>
      </w:r>
      <w:r w:rsidRPr="0089324F">
        <w:rPr>
          <w:rFonts w:ascii="Arial" w:hAnsi="Arial" w:cs="Arial"/>
          <w:sz w:val="20"/>
          <w:szCs w:val="20"/>
        </w:rPr>
        <w:t xml:space="preserve"> pregled uspešnosti programov v vsaki državi članici</w:t>
      </w:r>
      <w:r>
        <w:rPr>
          <w:rFonts w:ascii="Arial" w:hAnsi="Arial" w:cs="Arial"/>
          <w:sz w:val="20"/>
          <w:szCs w:val="20"/>
        </w:rPr>
        <w:t xml:space="preserve">. </w:t>
      </w:r>
      <w:r w:rsidRPr="0089324F">
        <w:rPr>
          <w:rFonts w:ascii="Arial" w:hAnsi="Arial" w:cs="Arial"/>
          <w:sz w:val="20"/>
          <w:szCs w:val="20"/>
        </w:rPr>
        <w:t xml:space="preserve">Okvir uspešnosti sestavljajo mejniki, določeni za vsako prednostno nalogo, ciljne vrednosti za leto 2018, ter ciljne vrednosti, določene za leto 2023. </w:t>
      </w:r>
    </w:p>
    <w:p w14:paraId="01FEDA97" w14:textId="77777777" w:rsidR="00C87588" w:rsidRDefault="00C87588" w:rsidP="00C87588">
      <w:pPr>
        <w:spacing w:after="0" w:line="240" w:lineRule="auto"/>
        <w:rPr>
          <w:rFonts w:ascii="Times New Roman" w:eastAsia="Times New Roman" w:hAnsi="Times New Roman"/>
          <w:sz w:val="21"/>
          <w:szCs w:val="21"/>
          <w:lang w:eastAsia="sl-SI"/>
        </w:rPr>
      </w:pPr>
    </w:p>
    <w:p w14:paraId="291480F0" w14:textId="77777777" w:rsidR="00C87588" w:rsidRDefault="00C87588" w:rsidP="00C87588">
      <w:pPr>
        <w:spacing w:after="120"/>
        <w:jc w:val="both"/>
        <w:rPr>
          <w:rFonts w:ascii="Arial" w:eastAsiaTheme="minorHAnsi" w:hAnsi="Arial" w:cs="Arial"/>
          <w:color w:val="000000"/>
          <w:sz w:val="20"/>
          <w:szCs w:val="20"/>
        </w:rPr>
      </w:pPr>
      <w:r w:rsidRPr="003E7C55">
        <w:rPr>
          <w:rFonts w:ascii="Arial" w:hAnsi="Arial" w:cs="Arial"/>
          <w:sz w:val="20"/>
          <w:szCs w:val="20"/>
        </w:rPr>
        <w:t xml:space="preserve">Do konca leta 2018 moramo doseči postavljene mejnike za okvir uspešnosti. </w:t>
      </w:r>
      <w:r>
        <w:rPr>
          <w:rFonts w:ascii="Arial" w:hAnsi="Arial" w:cs="Arial"/>
          <w:sz w:val="20"/>
          <w:szCs w:val="20"/>
        </w:rPr>
        <w:t xml:space="preserve">V Izvedbenem načrtu Operativnega programa (INOP) je </w:t>
      </w:r>
      <w:r w:rsidRPr="003E7C55">
        <w:rPr>
          <w:rFonts w:ascii="Arial" w:hAnsi="Arial" w:cs="Arial"/>
          <w:sz w:val="20"/>
          <w:szCs w:val="20"/>
        </w:rPr>
        <w:t>6</w:t>
      </w:r>
      <w:r>
        <w:rPr>
          <w:rFonts w:ascii="Arial" w:hAnsi="Arial" w:cs="Arial"/>
          <w:sz w:val="20"/>
          <w:szCs w:val="20"/>
        </w:rPr>
        <w:t xml:space="preserve"> </w:t>
      </w:r>
      <w:r w:rsidRPr="003E7C55">
        <w:rPr>
          <w:rFonts w:ascii="Arial" w:hAnsi="Arial" w:cs="Arial"/>
          <w:sz w:val="20"/>
          <w:szCs w:val="20"/>
        </w:rPr>
        <w:t xml:space="preserve">% sredstev </w:t>
      </w:r>
      <w:r>
        <w:rPr>
          <w:rFonts w:ascii="Arial" w:hAnsi="Arial" w:cs="Arial"/>
          <w:sz w:val="20"/>
          <w:szCs w:val="20"/>
        </w:rPr>
        <w:t>že predvidenih za porabo</w:t>
      </w:r>
      <w:r w:rsidRPr="003E7C55">
        <w:rPr>
          <w:rFonts w:ascii="Arial" w:hAnsi="Arial" w:cs="Arial"/>
          <w:sz w:val="20"/>
          <w:szCs w:val="20"/>
        </w:rPr>
        <w:t xml:space="preserve">. </w:t>
      </w:r>
      <w:r>
        <w:rPr>
          <w:rFonts w:ascii="Arial" w:hAnsi="Arial" w:cs="Arial"/>
          <w:sz w:val="20"/>
          <w:szCs w:val="20"/>
        </w:rPr>
        <w:t>S spremembo OP je p</w:t>
      </w:r>
      <w:r w:rsidRPr="003E7C55">
        <w:rPr>
          <w:rFonts w:ascii="Arial" w:hAnsi="Arial" w:cs="Arial"/>
          <w:sz w:val="20"/>
          <w:szCs w:val="20"/>
        </w:rPr>
        <w:t>otrebna ustr</w:t>
      </w:r>
      <w:r>
        <w:rPr>
          <w:rFonts w:ascii="Arial" w:hAnsi="Arial" w:cs="Arial"/>
          <w:sz w:val="20"/>
          <w:szCs w:val="20"/>
        </w:rPr>
        <w:t>ezna uskladitev kazalnikov (</w:t>
      </w:r>
      <w:r w:rsidRPr="003E7C55">
        <w:rPr>
          <w:rFonts w:ascii="Arial" w:hAnsi="Arial" w:cs="Arial"/>
          <w:sz w:val="20"/>
          <w:szCs w:val="20"/>
        </w:rPr>
        <w:t>kot jih bo dopustila E</w:t>
      </w:r>
      <w:r>
        <w:rPr>
          <w:rFonts w:ascii="Arial" w:hAnsi="Arial" w:cs="Arial"/>
          <w:sz w:val="20"/>
          <w:szCs w:val="20"/>
        </w:rPr>
        <w:t>K</w:t>
      </w:r>
      <w:r w:rsidRPr="003E7C55">
        <w:rPr>
          <w:rFonts w:ascii="Arial" w:hAnsi="Arial" w:cs="Arial"/>
          <w:sz w:val="20"/>
          <w:szCs w:val="20"/>
        </w:rPr>
        <w:t xml:space="preserve">) in tudi ustrezno </w:t>
      </w:r>
      <w:r>
        <w:rPr>
          <w:rFonts w:ascii="Arial" w:hAnsi="Arial" w:cs="Arial"/>
          <w:sz w:val="20"/>
          <w:szCs w:val="20"/>
        </w:rPr>
        <w:t>(</w:t>
      </w:r>
      <w:proofErr w:type="spellStart"/>
      <w:r>
        <w:rPr>
          <w:rFonts w:ascii="Arial" w:hAnsi="Arial" w:cs="Arial"/>
          <w:sz w:val="20"/>
          <w:szCs w:val="20"/>
        </w:rPr>
        <w:t>re</w:t>
      </w:r>
      <w:proofErr w:type="spellEnd"/>
      <w:r>
        <w:rPr>
          <w:rFonts w:ascii="Arial" w:hAnsi="Arial" w:cs="Arial"/>
          <w:sz w:val="20"/>
          <w:szCs w:val="20"/>
        </w:rPr>
        <w:t>)</w:t>
      </w:r>
      <w:proofErr w:type="spellStart"/>
      <w:r w:rsidRPr="003E7C55">
        <w:rPr>
          <w:rFonts w:ascii="Arial" w:hAnsi="Arial" w:cs="Arial"/>
          <w:sz w:val="20"/>
          <w:szCs w:val="20"/>
        </w:rPr>
        <w:t>alociranje</w:t>
      </w:r>
      <w:proofErr w:type="spellEnd"/>
      <w:r w:rsidRPr="003E7C55">
        <w:rPr>
          <w:rFonts w:ascii="Arial" w:hAnsi="Arial" w:cs="Arial"/>
          <w:sz w:val="20"/>
          <w:szCs w:val="20"/>
        </w:rPr>
        <w:t xml:space="preserve"> sredstev na vsebine, ki </w:t>
      </w:r>
      <w:r>
        <w:rPr>
          <w:rFonts w:ascii="Arial" w:hAnsi="Arial" w:cs="Arial"/>
          <w:sz w:val="20"/>
          <w:szCs w:val="20"/>
        </w:rPr>
        <w:t>se morajo</w:t>
      </w:r>
      <w:r w:rsidRPr="003E7C55">
        <w:rPr>
          <w:rFonts w:ascii="Arial" w:hAnsi="Arial" w:cs="Arial"/>
          <w:sz w:val="20"/>
          <w:szCs w:val="20"/>
        </w:rPr>
        <w:t xml:space="preserve"> za dosego okvirja uspešnosti</w:t>
      </w:r>
      <w:r>
        <w:rPr>
          <w:rFonts w:ascii="Arial" w:hAnsi="Arial" w:cs="Arial"/>
          <w:sz w:val="20"/>
          <w:szCs w:val="20"/>
        </w:rPr>
        <w:t xml:space="preserve"> izvesti hitreje ali z več sredstvi, kot prvotno predvideno. V okviru OP spremljamo </w:t>
      </w:r>
      <w:r>
        <w:rPr>
          <w:rFonts w:ascii="Arial" w:eastAsiaTheme="minorHAnsi" w:hAnsi="Arial" w:cs="Arial"/>
          <w:color w:val="000000"/>
          <w:sz w:val="20"/>
          <w:szCs w:val="20"/>
        </w:rPr>
        <w:t>86 kazalnikov za doseganje okvirja uspešnosti (ESRR vzhod - 22 kazalnikov, ESRR zahod - 17 kazalnikov, ESS vzhod - 15 kazalnikov, ESS zahod - 15 kazalnikov, KS - 15 kazalnikov, YEI 2 kazalnika).</w:t>
      </w:r>
    </w:p>
    <w:p w14:paraId="12A345DE" w14:textId="77777777" w:rsidR="00C87588" w:rsidRDefault="00C87588" w:rsidP="00C87588">
      <w:pPr>
        <w:spacing w:after="120"/>
        <w:jc w:val="both"/>
        <w:rPr>
          <w:rFonts w:ascii="Arial" w:hAnsi="Arial" w:cs="Arial"/>
          <w:sz w:val="20"/>
          <w:szCs w:val="20"/>
        </w:rPr>
      </w:pPr>
    </w:p>
    <w:p w14:paraId="1CBC157D" w14:textId="77777777" w:rsidR="00C87588" w:rsidRPr="00240AF6" w:rsidRDefault="00C87588" w:rsidP="00C87588">
      <w:pPr>
        <w:numPr>
          <w:ilvl w:val="0"/>
          <w:numId w:val="11"/>
        </w:numPr>
        <w:spacing w:after="0" w:line="260" w:lineRule="atLeast"/>
        <w:ind w:hanging="720"/>
        <w:contextualSpacing/>
        <w:jc w:val="both"/>
        <w:rPr>
          <w:rFonts w:ascii="Arial" w:eastAsia="Times New Roman" w:hAnsi="Arial" w:cstheme="minorBidi"/>
          <w:b/>
          <w:sz w:val="20"/>
          <w:szCs w:val="24"/>
        </w:rPr>
      </w:pPr>
      <w:r w:rsidRPr="00240AF6">
        <w:rPr>
          <w:rFonts w:ascii="Arial" w:eastAsia="Times New Roman" w:hAnsi="Arial" w:cstheme="minorBidi"/>
          <w:b/>
          <w:sz w:val="20"/>
          <w:szCs w:val="24"/>
        </w:rPr>
        <w:t xml:space="preserve">Doseganje pravila n+3 </w:t>
      </w:r>
    </w:p>
    <w:p w14:paraId="76912CF4" w14:textId="77777777" w:rsidR="00C87588" w:rsidRPr="00240AF6" w:rsidRDefault="00C87588" w:rsidP="00C87588">
      <w:pPr>
        <w:spacing w:after="0" w:line="260" w:lineRule="atLeast"/>
        <w:ind w:left="720"/>
        <w:contextualSpacing/>
        <w:jc w:val="both"/>
        <w:rPr>
          <w:rFonts w:ascii="Arial" w:eastAsia="Times New Roman" w:hAnsi="Arial" w:cstheme="minorBidi"/>
          <w:b/>
          <w:sz w:val="20"/>
          <w:szCs w:val="24"/>
        </w:rPr>
      </w:pPr>
    </w:p>
    <w:p w14:paraId="3A7696F5" w14:textId="77777777" w:rsidR="00C87588" w:rsidRPr="00240AF6" w:rsidRDefault="00C87588" w:rsidP="00C87588">
      <w:pPr>
        <w:spacing w:after="120"/>
        <w:jc w:val="both"/>
        <w:rPr>
          <w:rFonts w:ascii="Arial" w:hAnsi="Arial" w:cs="Arial"/>
          <w:sz w:val="20"/>
          <w:szCs w:val="20"/>
        </w:rPr>
      </w:pPr>
      <w:r>
        <w:rPr>
          <w:rFonts w:ascii="Arial" w:hAnsi="Arial" w:cs="Arial"/>
          <w:sz w:val="20"/>
          <w:szCs w:val="20"/>
        </w:rPr>
        <w:t>Glede na potrjeni OP se pravilo n+3 prvič uveljavi k</w:t>
      </w:r>
      <w:r w:rsidRPr="00240AF6">
        <w:rPr>
          <w:rFonts w:ascii="Arial" w:hAnsi="Arial" w:cs="Arial"/>
          <w:sz w:val="20"/>
          <w:szCs w:val="20"/>
        </w:rPr>
        <w:t>onec leta 2017</w:t>
      </w:r>
      <w:r>
        <w:rPr>
          <w:rFonts w:ascii="Arial" w:hAnsi="Arial" w:cs="Arial"/>
          <w:sz w:val="20"/>
          <w:szCs w:val="20"/>
        </w:rPr>
        <w:t xml:space="preserve">, kar predstavlja </w:t>
      </w:r>
      <w:r w:rsidRPr="00240AF6">
        <w:rPr>
          <w:rFonts w:ascii="Arial" w:hAnsi="Arial" w:cs="Arial"/>
          <w:sz w:val="20"/>
          <w:szCs w:val="20"/>
        </w:rPr>
        <w:t xml:space="preserve">prvi mejnik, ko mora </w:t>
      </w:r>
      <w:r>
        <w:rPr>
          <w:rFonts w:ascii="Arial" w:hAnsi="Arial" w:cs="Arial"/>
          <w:sz w:val="20"/>
          <w:szCs w:val="20"/>
        </w:rPr>
        <w:t>Republika Slovenija</w:t>
      </w:r>
      <w:r w:rsidRPr="00240AF6">
        <w:rPr>
          <w:rFonts w:ascii="Arial" w:hAnsi="Arial" w:cs="Arial"/>
          <w:sz w:val="20"/>
          <w:szCs w:val="20"/>
        </w:rPr>
        <w:t xml:space="preserve"> certificirati minimalno določen znesek EU sredstev. </w:t>
      </w:r>
      <w:r>
        <w:rPr>
          <w:rFonts w:ascii="Arial" w:hAnsi="Arial" w:cs="Arial"/>
          <w:sz w:val="20"/>
          <w:szCs w:val="20"/>
        </w:rPr>
        <w:t xml:space="preserve">Na podlagi </w:t>
      </w:r>
      <w:r w:rsidRPr="00240AF6">
        <w:rPr>
          <w:rFonts w:ascii="Arial" w:hAnsi="Arial" w:cs="Arial"/>
          <w:sz w:val="20"/>
          <w:szCs w:val="20"/>
        </w:rPr>
        <w:t>136. člen</w:t>
      </w:r>
      <w:r>
        <w:rPr>
          <w:rFonts w:ascii="Arial" w:hAnsi="Arial" w:cs="Arial"/>
          <w:sz w:val="20"/>
          <w:szCs w:val="20"/>
        </w:rPr>
        <w:t>a</w:t>
      </w:r>
      <w:r w:rsidRPr="00240AF6">
        <w:rPr>
          <w:rFonts w:ascii="Arial" w:hAnsi="Arial" w:cs="Arial"/>
          <w:sz w:val="20"/>
          <w:szCs w:val="20"/>
        </w:rPr>
        <w:t xml:space="preserve"> Uredbe EU </w:t>
      </w:r>
      <w:r>
        <w:rPr>
          <w:rFonts w:ascii="Arial" w:hAnsi="Arial" w:cs="Arial"/>
          <w:sz w:val="20"/>
          <w:szCs w:val="20"/>
        </w:rPr>
        <w:t xml:space="preserve">št. </w:t>
      </w:r>
      <w:r w:rsidRPr="00240AF6">
        <w:rPr>
          <w:rFonts w:ascii="Arial" w:hAnsi="Arial" w:cs="Arial"/>
          <w:sz w:val="20"/>
          <w:szCs w:val="20"/>
        </w:rPr>
        <w:t xml:space="preserve">1303/2013 </w:t>
      </w:r>
      <w:r>
        <w:rPr>
          <w:rFonts w:ascii="Arial" w:hAnsi="Arial" w:cs="Arial"/>
          <w:sz w:val="20"/>
          <w:szCs w:val="20"/>
        </w:rPr>
        <w:t>EK</w:t>
      </w:r>
      <w:r w:rsidRPr="00240AF6">
        <w:rPr>
          <w:rFonts w:ascii="Arial" w:hAnsi="Arial" w:cs="Arial"/>
          <w:sz w:val="20"/>
          <w:szCs w:val="20"/>
        </w:rPr>
        <w:t xml:space="preserve"> za </w:t>
      </w:r>
      <w:r>
        <w:rPr>
          <w:rFonts w:ascii="Arial" w:hAnsi="Arial" w:cs="Arial"/>
          <w:sz w:val="20"/>
          <w:szCs w:val="20"/>
        </w:rPr>
        <w:t>OP</w:t>
      </w:r>
      <w:r w:rsidRPr="00240AF6">
        <w:rPr>
          <w:rFonts w:ascii="Arial" w:hAnsi="Arial" w:cs="Arial"/>
          <w:sz w:val="20"/>
          <w:szCs w:val="20"/>
        </w:rPr>
        <w:t xml:space="preserve"> razveljavi odobritev katerega koli dela zneska, ki ni bil uporabljen za izvedbo začetnih in letnih predplačil in vmesnih plačil do 31. decembra tretjega obračunskega leta po letu proračunske obveznosti v okviru operativnega programa</w:t>
      </w:r>
      <w:r>
        <w:rPr>
          <w:rFonts w:ascii="Arial" w:hAnsi="Arial" w:cs="Arial"/>
          <w:sz w:val="20"/>
          <w:szCs w:val="20"/>
        </w:rPr>
        <w:t>.</w:t>
      </w:r>
    </w:p>
    <w:p w14:paraId="728A1AAE" w14:textId="77777777" w:rsidR="00C87588" w:rsidRPr="00240AF6" w:rsidRDefault="00C87588" w:rsidP="00C87588">
      <w:pPr>
        <w:spacing w:before="100" w:beforeAutospacing="1" w:after="0" w:line="240" w:lineRule="auto"/>
        <w:rPr>
          <w:rFonts w:ascii="Arial" w:hAnsi="Arial" w:cs="Arial"/>
          <w:sz w:val="20"/>
          <w:szCs w:val="20"/>
        </w:rPr>
      </w:pPr>
      <w:r w:rsidRPr="00240AF6">
        <w:rPr>
          <w:rFonts w:ascii="Arial" w:hAnsi="Arial" w:cs="Arial"/>
          <w:sz w:val="20"/>
          <w:szCs w:val="20"/>
        </w:rPr>
        <w:t xml:space="preserve">Za OP je potrebno spremljati dinamiko porabe po 5 </w:t>
      </w:r>
      <w:r>
        <w:rPr>
          <w:rFonts w:ascii="Arial" w:hAnsi="Arial" w:cs="Arial"/>
          <w:sz w:val="20"/>
          <w:szCs w:val="20"/>
        </w:rPr>
        <w:t>postavkah</w:t>
      </w:r>
      <w:r w:rsidRPr="00240AF6">
        <w:rPr>
          <w:rFonts w:ascii="Arial" w:hAnsi="Arial" w:cs="Arial"/>
          <w:sz w:val="20"/>
          <w:szCs w:val="20"/>
        </w:rPr>
        <w:t>:</w:t>
      </w:r>
    </w:p>
    <w:p w14:paraId="372E71B5" w14:textId="77777777" w:rsidR="00C87588" w:rsidRPr="00240AF6" w:rsidRDefault="00C87588" w:rsidP="00C87588">
      <w:pPr>
        <w:numPr>
          <w:ilvl w:val="0"/>
          <w:numId w:val="32"/>
        </w:numPr>
        <w:spacing w:after="100" w:afterAutospacing="1" w:line="240" w:lineRule="auto"/>
        <w:rPr>
          <w:rFonts w:ascii="Arial" w:hAnsi="Arial" w:cs="Arial"/>
          <w:sz w:val="20"/>
          <w:szCs w:val="20"/>
        </w:rPr>
      </w:pPr>
      <w:r w:rsidRPr="00240AF6">
        <w:rPr>
          <w:rFonts w:ascii="Arial" w:hAnsi="Arial" w:cs="Arial"/>
          <w:sz w:val="20"/>
          <w:szCs w:val="20"/>
        </w:rPr>
        <w:t>ESS</w:t>
      </w:r>
      <w:r>
        <w:rPr>
          <w:rFonts w:ascii="Arial" w:hAnsi="Arial" w:cs="Arial"/>
          <w:sz w:val="20"/>
          <w:szCs w:val="20"/>
        </w:rPr>
        <w:t xml:space="preserve"> </w:t>
      </w:r>
      <w:r w:rsidRPr="00240AF6">
        <w:rPr>
          <w:rFonts w:ascii="Arial" w:hAnsi="Arial" w:cs="Arial"/>
          <w:sz w:val="20"/>
          <w:szCs w:val="20"/>
        </w:rPr>
        <w:t>- vzhod</w:t>
      </w:r>
    </w:p>
    <w:p w14:paraId="0BCD0732" w14:textId="3103F574" w:rsidR="00C87588" w:rsidRPr="00240AF6" w:rsidRDefault="00C87588" w:rsidP="00C87588">
      <w:pPr>
        <w:numPr>
          <w:ilvl w:val="0"/>
          <w:numId w:val="32"/>
        </w:numPr>
        <w:spacing w:after="100" w:afterAutospacing="1" w:line="240" w:lineRule="auto"/>
        <w:rPr>
          <w:rFonts w:ascii="Arial" w:hAnsi="Arial" w:cs="Arial"/>
          <w:sz w:val="20"/>
          <w:szCs w:val="20"/>
        </w:rPr>
      </w:pPr>
      <w:r w:rsidRPr="00240AF6">
        <w:rPr>
          <w:rFonts w:ascii="Arial" w:hAnsi="Arial" w:cs="Arial"/>
          <w:sz w:val="20"/>
          <w:szCs w:val="20"/>
        </w:rPr>
        <w:t>ESS</w:t>
      </w:r>
      <w:r w:rsidR="00B477DD">
        <w:rPr>
          <w:rFonts w:ascii="Arial" w:hAnsi="Arial" w:cs="Arial"/>
          <w:sz w:val="20"/>
          <w:szCs w:val="20"/>
        </w:rPr>
        <w:t xml:space="preserve"> -</w:t>
      </w:r>
      <w:r w:rsidRPr="00240AF6">
        <w:rPr>
          <w:rFonts w:ascii="Arial" w:hAnsi="Arial" w:cs="Arial"/>
          <w:sz w:val="20"/>
          <w:szCs w:val="20"/>
        </w:rPr>
        <w:t xml:space="preserve"> zahod</w:t>
      </w:r>
    </w:p>
    <w:p w14:paraId="5399C5DB" w14:textId="437D6BDE" w:rsidR="00C87588" w:rsidRPr="00240AF6" w:rsidRDefault="00C87588" w:rsidP="00C87588">
      <w:pPr>
        <w:numPr>
          <w:ilvl w:val="0"/>
          <w:numId w:val="32"/>
        </w:numPr>
        <w:spacing w:before="100" w:beforeAutospacing="1" w:after="100" w:afterAutospacing="1" w:line="240" w:lineRule="auto"/>
        <w:rPr>
          <w:rFonts w:ascii="Arial" w:hAnsi="Arial" w:cs="Arial"/>
          <w:sz w:val="20"/>
          <w:szCs w:val="20"/>
        </w:rPr>
      </w:pPr>
      <w:r w:rsidRPr="00240AF6">
        <w:rPr>
          <w:rFonts w:ascii="Arial" w:hAnsi="Arial" w:cs="Arial"/>
          <w:sz w:val="20"/>
          <w:szCs w:val="20"/>
        </w:rPr>
        <w:t>ESRR</w:t>
      </w:r>
      <w:r w:rsidR="00B477DD">
        <w:rPr>
          <w:rFonts w:ascii="Arial" w:hAnsi="Arial" w:cs="Arial"/>
          <w:sz w:val="20"/>
          <w:szCs w:val="20"/>
        </w:rPr>
        <w:t xml:space="preserve"> </w:t>
      </w:r>
      <w:r w:rsidRPr="00240AF6">
        <w:rPr>
          <w:rFonts w:ascii="Arial" w:hAnsi="Arial" w:cs="Arial"/>
          <w:sz w:val="20"/>
          <w:szCs w:val="20"/>
        </w:rPr>
        <w:t>- vzhod</w:t>
      </w:r>
    </w:p>
    <w:p w14:paraId="4D484158" w14:textId="3D9FEB5B" w:rsidR="00C87588" w:rsidRPr="00240AF6" w:rsidRDefault="00C87588" w:rsidP="00C87588">
      <w:pPr>
        <w:numPr>
          <w:ilvl w:val="0"/>
          <w:numId w:val="32"/>
        </w:numPr>
        <w:spacing w:before="100" w:beforeAutospacing="1" w:after="100" w:afterAutospacing="1" w:line="240" w:lineRule="auto"/>
        <w:rPr>
          <w:rFonts w:ascii="Arial" w:hAnsi="Arial" w:cs="Arial"/>
          <w:sz w:val="20"/>
          <w:szCs w:val="20"/>
        </w:rPr>
      </w:pPr>
      <w:r w:rsidRPr="00240AF6">
        <w:rPr>
          <w:rFonts w:ascii="Arial" w:hAnsi="Arial" w:cs="Arial"/>
          <w:sz w:val="20"/>
          <w:szCs w:val="20"/>
        </w:rPr>
        <w:t>ESRR</w:t>
      </w:r>
      <w:r w:rsidR="00B477DD">
        <w:rPr>
          <w:rFonts w:ascii="Arial" w:hAnsi="Arial" w:cs="Arial"/>
          <w:sz w:val="20"/>
          <w:szCs w:val="20"/>
        </w:rPr>
        <w:t xml:space="preserve"> </w:t>
      </w:r>
      <w:r w:rsidRPr="00240AF6">
        <w:rPr>
          <w:rFonts w:ascii="Arial" w:hAnsi="Arial" w:cs="Arial"/>
          <w:sz w:val="20"/>
          <w:szCs w:val="20"/>
        </w:rPr>
        <w:t>- zahod</w:t>
      </w:r>
    </w:p>
    <w:p w14:paraId="67FF9E30" w14:textId="77777777" w:rsidR="00C87588" w:rsidRPr="00240AF6" w:rsidRDefault="00C87588" w:rsidP="00C87588">
      <w:pPr>
        <w:numPr>
          <w:ilvl w:val="0"/>
          <w:numId w:val="32"/>
        </w:numPr>
        <w:spacing w:before="100" w:beforeAutospacing="1" w:after="100" w:afterAutospacing="1" w:line="240" w:lineRule="auto"/>
        <w:rPr>
          <w:rFonts w:ascii="Arial" w:hAnsi="Arial" w:cs="Arial"/>
          <w:sz w:val="20"/>
          <w:szCs w:val="20"/>
        </w:rPr>
      </w:pPr>
      <w:r w:rsidRPr="00240AF6">
        <w:rPr>
          <w:rFonts w:ascii="Arial" w:hAnsi="Arial" w:cs="Arial"/>
          <w:sz w:val="20"/>
          <w:szCs w:val="20"/>
        </w:rPr>
        <w:t>Kohezijski sklad</w:t>
      </w:r>
    </w:p>
    <w:p w14:paraId="546493BE" w14:textId="77777777" w:rsidR="00C87588" w:rsidRDefault="00C87588" w:rsidP="00C87588">
      <w:pPr>
        <w:jc w:val="both"/>
        <w:rPr>
          <w:rFonts w:ascii="Arial" w:hAnsi="Arial" w:cs="Arial"/>
          <w:sz w:val="20"/>
          <w:szCs w:val="20"/>
        </w:rPr>
      </w:pPr>
      <w:r w:rsidRPr="00240AF6">
        <w:rPr>
          <w:rFonts w:ascii="Arial" w:hAnsi="Arial" w:cs="Arial"/>
          <w:sz w:val="20"/>
          <w:szCs w:val="20"/>
        </w:rPr>
        <w:t>Iz tega razloga je pri spremembi OP poseben poudarek namen</w:t>
      </w:r>
      <w:r>
        <w:rPr>
          <w:rFonts w:ascii="Arial" w:hAnsi="Arial" w:cs="Arial"/>
          <w:sz w:val="20"/>
          <w:szCs w:val="20"/>
        </w:rPr>
        <w:t>jen</w:t>
      </w:r>
      <w:r w:rsidRPr="00240AF6">
        <w:rPr>
          <w:rFonts w:ascii="Arial" w:hAnsi="Arial" w:cs="Arial"/>
          <w:sz w:val="20"/>
          <w:szCs w:val="20"/>
        </w:rPr>
        <w:t xml:space="preserve"> stopnji pripravljenosti projektov </w:t>
      </w:r>
      <w:r>
        <w:rPr>
          <w:rFonts w:ascii="Arial" w:hAnsi="Arial" w:cs="Arial"/>
          <w:sz w:val="20"/>
          <w:szCs w:val="20"/>
        </w:rPr>
        <w:t>in razporejanju sredstev na vsebine</w:t>
      </w:r>
      <w:r w:rsidRPr="00240AF6">
        <w:rPr>
          <w:rFonts w:ascii="Arial" w:hAnsi="Arial" w:cs="Arial"/>
          <w:sz w:val="20"/>
          <w:szCs w:val="20"/>
        </w:rPr>
        <w:t>, kjer bo</w:t>
      </w:r>
      <w:r>
        <w:rPr>
          <w:rFonts w:ascii="Arial" w:hAnsi="Arial" w:cs="Arial"/>
          <w:sz w:val="20"/>
          <w:szCs w:val="20"/>
        </w:rPr>
        <w:t xml:space="preserve"> črpanje EU sredstev hitrejše. T</w:t>
      </w:r>
      <w:r w:rsidRPr="00240AF6">
        <w:rPr>
          <w:rFonts w:ascii="Arial" w:hAnsi="Arial" w:cs="Arial"/>
          <w:sz w:val="20"/>
          <w:szCs w:val="20"/>
        </w:rPr>
        <w:t xml:space="preserve">o velja </w:t>
      </w:r>
      <w:r>
        <w:rPr>
          <w:rFonts w:ascii="Arial" w:hAnsi="Arial" w:cs="Arial"/>
          <w:sz w:val="20"/>
          <w:szCs w:val="20"/>
        </w:rPr>
        <w:t xml:space="preserve">posebej </w:t>
      </w:r>
      <w:r w:rsidRPr="00240AF6">
        <w:rPr>
          <w:rFonts w:ascii="Arial" w:hAnsi="Arial" w:cs="Arial"/>
          <w:sz w:val="20"/>
          <w:szCs w:val="20"/>
        </w:rPr>
        <w:t xml:space="preserve">za vsebine na </w:t>
      </w:r>
      <w:r>
        <w:rPr>
          <w:rFonts w:ascii="Arial" w:hAnsi="Arial" w:cs="Arial"/>
          <w:sz w:val="20"/>
          <w:szCs w:val="20"/>
        </w:rPr>
        <w:t>ESRR</w:t>
      </w:r>
      <w:r w:rsidRPr="00240AF6">
        <w:rPr>
          <w:rFonts w:ascii="Arial" w:hAnsi="Arial" w:cs="Arial"/>
          <w:sz w:val="20"/>
          <w:szCs w:val="20"/>
        </w:rPr>
        <w:t>.</w:t>
      </w:r>
    </w:p>
    <w:p w14:paraId="3184C6FA" w14:textId="77777777" w:rsidR="00C87588" w:rsidRPr="00240AF6" w:rsidRDefault="00C87588" w:rsidP="00C87588">
      <w:pPr>
        <w:jc w:val="both"/>
        <w:rPr>
          <w:rFonts w:ascii="Arial" w:hAnsi="Arial" w:cs="Arial"/>
          <w:sz w:val="20"/>
          <w:szCs w:val="20"/>
        </w:rPr>
      </w:pPr>
    </w:p>
    <w:p w14:paraId="4DD22E53" w14:textId="77777777" w:rsidR="00C87588" w:rsidRPr="000C519A" w:rsidRDefault="00C87588" w:rsidP="00C87588">
      <w:pPr>
        <w:pStyle w:val="Odstavekseznama"/>
        <w:numPr>
          <w:ilvl w:val="0"/>
          <w:numId w:val="34"/>
        </w:numPr>
        <w:jc w:val="both"/>
        <w:rPr>
          <w:rFonts w:ascii="Arial" w:hAnsi="Arial" w:cs="Arial"/>
          <w:b/>
          <w:sz w:val="20"/>
          <w:szCs w:val="20"/>
        </w:rPr>
      </w:pPr>
      <w:r w:rsidRPr="000C519A">
        <w:rPr>
          <w:rFonts w:ascii="Arial" w:hAnsi="Arial" w:cs="Arial"/>
          <w:b/>
          <w:sz w:val="20"/>
          <w:szCs w:val="20"/>
        </w:rPr>
        <w:t xml:space="preserve">Predlog </w:t>
      </w:r>
      <w:proofErr w:type="spellStart"/>
      <w:r w:rsidRPr="000C519A">
        <w:rPr>
          <w:rFonts w:ascii="Arial" w:hAnsi="Arial" w:cs="Arial"/>
          <w:b/>
          <w:sz w:val="20"/>
          <w:szCs w:val="20"/>
        </w:rPr>
        <w:t>realokacije</w:t>
      </w:r>
      <w:proofErr w:type="spellEnd"/>
      <w:r w:rsidRPr="000C519A">
        <w:rPr>
          <w:rFonts w:ascii="Arial" w:hAnsi="Arial" w:cs="Arial"/>
          <w:b/>
          <w:sz w:val="20"/>
          <w:szCs w:val="20"/>
        </w:rPr>
        <w:t xml:space="preserve"> pravic porabe in utemeljitve predlaganih sprememb</w:t>
      </w:r>
    </w:p>
    <w:p w14:paraId="13480743" w14:textId="77777777" w:rsidR="00C87588" w:rsidRPr="00BF6799" w:rsidRDefault="00C87588" w:rsidP="00C87588">
      <w:pPr>
        <w:jc w:val="both"/>
        <w:rPr>
          <w:rFonts w:ascii="Arial" w:hAnsi="Arial" w:cs="Arial"/>
          <w:sz w:val="20"/>
          <w:szCs w:val="20"/>
        </w:rPr>
      </w:pPr>
      <w:r w:rsidRPr="000C519A">
        <w:rPr>
          <w:rFonts w:ascii="Arial" w:hAnsi="Arial" w:cs="Arial"/>
          <w:sz w:val="20"/>
          <w:szCs w:val="20"/>
        </w:rPr>
        <w:t>Od skupaj 33 prednostnih naložb (PN), ki so opredeljene v OP, prihaja do sprememb na 11 prednostnih naložbah.</w:t>
      </w:r>
      <w:r w:rsidRPr="00BF6799">
        <w:rPr>
          <w:rFonts w:ascii="Arial" w:hAnsi="Arial" w:cs="Arial"/>
          <w:sz w:val="20"/>
          <w:szCs w:val="20"/>
        </w:rPr>
        <w:t xml:space="preserve"> </w:t>
      </w:r>
    </w:p>
    <w:p w14:paraId="4D4B5866" w14:textId="77777777" w:rsidR="00C87588" w:rsidRPr="00F14681" w:rsidRDefault="00C87588" w:rsidP="00C87588">
      <w:pPr>
        <w:tabs>
          <w:tab w:val="num" w:pos="284"/>
        </w:tabs>
        <w:suppressAutoHyphens/>
        <w:spacing w:before="240" w:after="0"/>
        <w:jc w:val="both"/>
        <w:rPr>
          <w:rFonts w:ascii="Arial" w:eastAsia="Times New Roman" w:hAnsi="Arial" w:cs="Arial"/>
          <w:bCs/>
          <w:i/>
          <w:sz w:val="20"/>
          <w:szCs w:val="20"/>
          <w:lang w:eastAsia="ar-SA"/>
        </w:rPr>
      </w:pPr>
      <w:r w:rsidRPr="00F14681">
        <w:rPr>
          <w:rFonts w:ascii="Arial" w:eastAsia="Times New Roman" w:hAnsi="Arial" w:cs="Arial"/>
          <w:b/>
          <w:bCs/>
          <w:i/>
          <w:sz w:val="20"/>
          <w:szCs w:val="20"/>
          <w:lang w:eastAsia="ar-SA"/>
        </w:rPr>
        <w:t>PN 1.2 Spodbujanje naložb podjetij v raziskave in inovacije</w:t>
      </w:r>
      <w:r w:rsidRPr="00F14681">
        <w:rPr>
          <w:rFonts w:ascii="Arial" w:eastAsia="Times New Roman" w:hAnsi="Arial" w:cs="Arial"/>
          <w:bCs/>
          <w:i/>
          <w:sz w:val="20"/>
          <w:szCs w:val="20"/>
          <w:lang w:eastAsia="ar-SA"/>
        </w:rPr>
        <w:t xml:space="preserve"> </w:t>
      </w:r>
    </w:p>
    <w:p w14:paraId="5E8B30B2" w14:textId="6A67B738" w:rsidR="00C87588" w:rsidRDefault="00C87588" w:rsidP="00C87588">
      <w:pPr>
        <w:pStyle w:val="Odstavekseznama"/>
        <w:numPr>
          <w:ilvl w:val="0"/>
          <w:numId w:val="35"/>
        </w:numPr>
        <w:spacing w:after="120"/>
        <w:jc w:val="both"/>
        <w:rPr>
          <w:rFonts w:ascii="Arial" w:hAnsi="Arial" w:cs="Arial"/>
          <w:sz w:val="20"/>
          <w:szCs w:val="20"/>
        </w:rPr>
      </w:pPr>
      <w:r w:rsidRPr="00DA2344">
        <w:rPr>
          <w:rFonts w:ascii="Arial" w:hAnsi="Arial" w:cs="Arial"/>
          <w:sz w:val="20"/>
          <w:szCs w:val="20"/>
          <w:lang w:eastAsia="ar-SA"/>
        </w:rPr>
        <w:t>Prenos povratnih sredstev (FI) na nepovratna sredstva v znesku</w:t>
      </w:r>
      <w:r w:rsidRPr="00DA2344">
        <w:rPr>
          <w:rFonts w:ascii="Arial" w:hAnsi="Arial" w:cs="Arial"/>
          <w:b/>
          <w:sz w:val="20"/>
          <w:szCs w:val="20"/>
          <w:lang w:eastAsia="ar-SA"/>
        </w:rPr>
        <w:t xml:space="preserve"> </w:t>
      </w:r>
      <w:r w:rsidRPr="00DA2344">
        <w:rPr>
          <w:rFonts w:ascii="Arial" w:hAnsi="Arial" w:cs="Arial"/>
          <w:sz w:val="20"/>
          <w:szCs w:val="20"/>
        </w:rPr>
        <w:t>40.000.000</w:t>
      </w:r>
      <w:r>
        <w:rPr>
          <w:rFonts w:ascii="Arial" w:hAnsi="Arial" w:cs="Arial"/>
          <w:sz w:val="20"/>
          <w:szCs w:val="20"/>
        </w:rPr>
        <w:t xml:space="preserve"> evrov</w:t>
      </w:r>
      <w:r w:rsidRPr="00DA2344">
        <w:rPr>
          <w:rFonts w:ascii="Arial" w:hAnsi="Arial" w:cs="Arial"/>
          <w:sz w:val="20"/>
          <w:szCs w:val="20"/>
        </w:rPr>
        <w:t xml:space="preserve"> sredstev ESRR in sice</w:t>
      </w:r>
      <w:r>
        <w:rPr>
          <w:rFonts w:ascii="Arial" w:hAnsi="Arial" w:cs="Arial"/>
          <w:sz w:val="20"/>
          <w:szCs w:val="20"/>
        </w:rPr>
        <w:t>r v manj razviti regiji (Vzhod)</w:t>
      </w:r>
      <w:r w:rsidR="007E4367">
        <w:rPr>
          <w:rFonts w:ascii="Arial" w:hAnsi="Arial" w:cs="Arial"/>
          <w:sz w:val="20"/>
          <w:szCs w:val="20"/>
        </w:rPr>
        <w:t>.</w:t>
      </w:r>
    </w:p>
    <w:p w14:paraId="1CD80F3B" w14:textId="77777777" w:rsidR="00C87588" w:rsidRPr="00F14681" w:rsidRDefault="00C87588" w:rsidP="00C87588">
      <w:pPr>
        <w:pStyle w:val="Odstavekseznama"/>
        <w:numPr>
          <w:ilvl w:val="0"/>
          <w:numId w:val="35"/>
        </w:numPr>
        <w:spacing w:after="0"/>
        <w:jc w:val="both"/>
        <w:rPr>
          <w:rFonts w:ascii="Arial" w:hAnsi="Arial" w:cs="Arial"/>
          <w:i/>
          <w:sz w:val="20"/>
          <w:szCs w:val="20"/>
          <w:lang w:eastAsia="ar-SA"/>
        </w:rPr>
      </w:pPr>
      <w:r>
        <w:rPr>
          <w:rFonts w:ascii="Arial" w:hAnsi="Arial" w:cs="Arial"/>
          <w:sz w:val="20"/>
          <w:szCs w:val="20"/>
        </w:rPr>
        <w:t>Prerazporeditev</w:t>
      </w:r>
      <w:r w:rsidRPr="00DA2344">
        <w:rPr>
          <w:rFonts w:ascii="Arial" w:hAnsi="Arial" w:cs="Arial"/>
          <w:sz w:val="20"/>
          <w:szCs w:val="20"/>
          <w:lang w:eastAsia="ar-SA"/>
        </w:rPr>
        <w:t xml:space="preserve"> 14.000.000 </w:t>
      </w:r>
      <w:r>
        <w:rPr>
          <w:rFonts w:ascii="Arial" w:hAnsi="Arial" w:cs="Arial"/>
          <w:sz w:val="20"/>
          <w:szCs w:val="20"/>
          <w:lang w:eastAsia="ar-SA"/>
        </w:rPr>
        <w:t>evrov</w:t>
      </w:r>
      <w:r w:rsidRPr="00DA2344">
        <w:rPr>
          <w:rFonts w:ascii="Arial" w:hAnsi="Arial" w:cs="Arial"/>
          <w:sz w:val="20"/>
          <w:szCs w:val="20"/>
          <w:lang w:eastAsia="ar-SA"/>
        </w:rPr>
        <w:t xml:space="preserve"> sredstev iz PN 2.1</w:t>
      </w:r>
      <w:r>
        <w:rPr>
          <w:rFonts w:ascii="Arial" w:hAnsi="Arial" w:cs="Arial"/>
          <w:sz w:val="20"/>
          <w:szCs w:val="20"/>
          <w:lang w:eastAsia="ar-SA"/>
        </w:rPr>
        <w:t xml:space="preserve"> </w:t>
      </w:r>
      <w:r w:rsidRPr="00F14681">
        <w:rPr>
          <w:rFonts w:ascii="Arial" w:hAnsi="Arial" w:cs="Arial"/>
          <w:i/>
          <w:sz w:val="20"/>
          <w:szCs w:val="20"/>
          <w:lang w:eastAsia="ar-SA"/>
        </w:rPr>
        <w:t xml:space="preserve">Širitev širokopasovnih storitev in uvajanje </w:t>
      </w:r>
      <w:proofErr w:type="spellStart"/>
      <w:r w:rsidRPr="00F14681">
        <w:rPr>
          <w:rFonts w:ascii="Arial" w:hAnsi="Arial" w:cs="Arial"/>
          <w:i/>
          <w:sz w:val="20"/>
          <w:szCs w:val="20"/>
          <w:lang w:eastAsia="ar-SA"/>
        </w:rPr>
        <w:t>visokohitrostnih</w:t>
      </w:r>
      <w:proofErr w:type="spellEnd"/>
      <w:r w:rsidRPr="00F14681">
        <w:rPr>
          <w:rFonts w:ascii="Arial" w:hAnsi="Arial" w:cs="Arial"/>
          <w:i/>
          <w:sz w:val="20"/>
          <w:szCs w:val="20"/>
          <w:lang w:eastAsia="ar-SA"/>
        </w:rPr>
        <w:t xml:space="preserve"> omrežij. </w:t>
      </w:r>
    </w:p>
    <w:p w14:paraId="0265D515" w14:textId="1A36B732" w:rsidR="00C87588" w:rsidRDefault="00C87588" w:rsidP="00C87588">
      <w:pPr>
        <w:tabs>
          <w:tab w:val="num" w:pos="284"/>
        </w:tabs>
        <w:suppressAutoHyphens/>
        <w:spacing w:after="0"/>
        <w:jc w:val="both"/>
        <w:rPr>
          <w:rFonts w:ascii="Arial" w:eastAsia="Times New Roman" w:hAnsi="Arial" w:cs="Arial"/>
          <w:bCs/>
          <w:sz w:val="20"/>
          <w:szCs w:val="20"/>
          <w:lang w:eastAsia="ar-SA"/>
        </w:rPr>
      </w:pPr>
      <w:r w:rsidRPr="00FB5DA1">
        <w:rPr>
          <w:rFonts w:ascii="Arial" w:eastAsia="Times New Roman" w:hAnsi="Arial" w:cs="Arial"/>
          <w:bCs/>
          <w:sz w:val="20"/>
          <w:szCs w:val="20"/>
          <w:lang w:eastAsia="ar-SA"/>
        </w:rPr>
        <w:lastRenderedPageBreak/>
        <w:t>Spodbujale se bodo raziskave in inovacijski procesi v velikih podjetjih in v MSP na prednostnih področjih Slovenske strategije pametne specializacije. Prav tako se bodo financirale naložbe v infrastrukturo, zmogljivosti in opremo velikih podjetij in MSP v neposredni povezavi z raziskava</w:t>
      </w:r>
      <w:r>
        <w:rPr>
          <w:rFonts w:ascii="Arial" w:eastAsia="Times New Roman" w:hAnsi="Arial" w:cs="Arial"/>
          <w:bCs/>
          <w:sz w:val="20"/>
          <w:szCs w:val="20"/>
          <w:lang w:eastAsia="ar-SA"/>
        </w:rPr>
        <w:t xml:space="preserve">mi in inovacijskimi dejavnostmi ter nadaljevanje instrumenta </w:t>
      </w:r>
      <w:r w:rsidRPr="000A2550">
        <w:rPr>
          <w:rFonts w:ascii="Arial" w:eastAsia="Times New Roman" w:hAnsi="Arial" w:cs="Arial"/>
          <w:bCs/>
          <w:sz w:val="20"/>
          <w:szCs w:val="20"/>
          <w:lang w:eastAsia="ar-SA"/>
        </w:rPr>
        <w:t>»</w:t>
      </w:r>
      <w:r w:rsidR="000A2550" w:rsidRPr="000A2550">
        <w:rPr>
          <w:rFonts w:ascii="Arial" w:eastAsia="Times New Roman" w:hAnsi="Arial" w:cs="Arial"/>
          <w:bCs/>
          <w:sz w:val="20"/>
          <w:szCs w:val="20"/>
          <w:lang w:eastAsia="ar-SA"/>
        </w:rPr>
        <w:t>MSP</w:t>
      </w:r>
      <w:r w:rsidRPr="000A2550">
        <w:rPr>
          <w:rFonts w:ascii="Arial" w:eastAsia="Times New Roman" w:hAnsi="Arial" w:cs="Arial"/>
          <w:bCs/>
          <w:sz w:val="20"/>
          <w:szCs w:val="20"/>
          <w:lang w:eastAsia="ar-SA"/>
        </w:rPr>
        <w:t xml:space="preserve"> instrument«.</w:t>
      </w:r>
      <w:r w:rsidRPr="00FB5DA1">
        <w:rPr>
          <w:rFonts w:ascii="Arial" w:eastAsia="Times New Roman" w:hAnsi="Arial" w:cs="Arial"/>
          <w:bCs/>
          <w:sz w:val="20"/>
          <w:szCs w:val="20"/>
          <w:lang w:eastAsia="ar-SA"/>
        </w:rPr>
        <w:t xml:space="preserve"> Poseben poudarek bo na raziskavah in inovacijski infrastrukturi, prenosu tehnologije ter sodelovanju podjetij s poudarkom na </w:t>
      </w:r>
      <w:proofErr w:type="spellStart"/>
      <w:r w:rsidRPr="00FB5DA1">
        <w:rPr>
          <w:rFonts w:ascii="Arial" w:eastAsia="Times New Roman" w:hAnsi="Arial" w:cs="Arial"/>
          <w:bCs/>
          <w:sz w:val="20"/>
          <w:szCs w:val="20"/>
          <w:lang w:eastAsia="ar-SA"/>
        </w:rPr>
        <w:t>nizkoogljičnem</w:t>
      </w:r>
      <w:proofErr w:type="spellEnd"/>
      <w:r w:rsidRPr="00FB5DA1">
        <w:rPr>
          <w:rFonts w:ascii="Arial" w:eastAsia="Times New Roman" w:hAnsi="Arial" w:cs="Arial"/>
          <w:bCs/>
          <w:sz w:val="20"/>
          <w:szCs w:val="20"/>
          <w:lang w:eastAsia="ar-SA"/>
        </w:rPr>
        <w:t xml:space="preserve"> gospodarstvu. Podprti bodo demonstracijski oz. pilotni projekti za testiranje novih rešitev za neposredno uporabo v praksi in demonstracijo uporabe na izbranih področjih Strategije pametne specializacije. </w:t>
      </w:r>
    </w:p>
    <w:p w14:paraId="17AC3709" w14:textId="77777777" w:rsidR="00C87588" w:rsidRDefault="00C87588" w:rsidP="00C87588">
      <w:pPr>
        <w:tabs>
          <w:tab w:val="num" w:pos="284"/>
        </w:tabs>
        <w:suppressAutoHyphens/>
        <w:spacing w:after="0" w:line="240" w:lineRule="auto"/>
        <w:jc w:val="both"/>
        <w:rPr>
          <w:rFonts w:ascii="Arial" w:eastAsia="Times New Roman" w:hAnsi="Arial" w:cs="Arial"/>
          <w:bCs/>
          <w:sz w:val="20"/>
          <w:szCs w:val="20"/>
          <w:lang w:eastAsia="ar-SA"/>
        </w:rPr>
      </w:pPr>
    </w:p>
    <w:p w14:paraId="44C814C9" w14:textId="5BBDA9C3" w:rsidR="00C87588" w:rsidRPr="00DA2344" w:rsidRDefault="00C87588" w:rsidP="00C87588">
      <w:pPr>
        <w:spacing w:after="120"/>
        <w:jc w:val="both"/>
        <w:rPr>
          <w:rFonts w:ascii="Arial" w:hAnsi="Arial" w:cs="Arial"/>
          <w:sz w:val="20"/>
          <w:szCs w:val="20"/>
          <w:lang w:eastAsia="ar-SA"/>
        </w:rPr>
      </w:pPr>
      <w:r w:rsidRPr="00DA2344">
        <w:rPr>
          <w:rFonts w:ascii="Arial" w:hAnsi="Arial" w:cs="Arial"/>
          <w:sz w:val="20"/>
          <w:szCs w:val="20"/>
          <w:lang w:eastAsia="ar-SA"/>
        </w:rPr>
        <w:t xml:space="preserve">Prenos 14.000.000 </w:t>
      </w:r>
      <w:r>
        <w:rPr>
          <w:rFonts w:ascii="Arial" w:hAnsi="Arial" w:cs="Arial"/>
          <w:sz w:val="20"/>
          <w:szCs w:val="20"/>
          <w:lang w:eastAsia="ar-SA"/>
        </w:rPr>
        <w:t>evrov</w:t>
      </w:r>
      <w:r w:rsidRPr="00DA2344">
        <w:rPr>
          <w:rFonts w:ascii="Arial" w:hAnsi="Arial" w:cs="Arial"/>
          <w:sz w:val="20"/>
          <w:szCs w:val="20"/>
          <w:lang w:eastAsia="ar-SA"/>
        </w:rPr>
        <w:t xml:space="preserve"> sredstev iz PN 2.1 </w:t>
      </w:r>
      <w:r>
        <w:rPr>
          <w:rFonts w:ascii="Arial" w:hAnsi="Arial" w:cs="Arial"/>
          <w:sz w:val="20"/>
          <w:szCs w:val="20"/>
          <w:lang w:eastAsia="ar-SA"/>
        </w:rPr>
        <w:t>se bo v celoti namenilo za aktivnosti v povezavi z IKT, kjer so potrebe izredno velike.</w:t>
      </w:r>
    </w:p>
    <w:p w14:paraId="4AD23C8F" w14:textId="77777777" w:rsidR="00C87588" w:rsidRPr="00F14681" w:rsidRDefault="00C87588" w:rsidP="00C87588">
      <w:pPr>
        <w:spacing w:before="240" w:after="120"/>
        <w:jc w:val="both"/>
        <w:rPr>
          <w:rFonts w:ascii="Arial" w:hAnsi="Arial" w:cs="Arial"/>
          <w:i/>
          <w:sz w:val="20"/>
          <w:szCs w:val="20"/>
        </w:rPr>
      </w:pPr>
      <w:r w:rsidRPr="00F14681">
        <w:rPr>
          <w:rFonts w:ascii="Arial" w:eastAsia="Times New Roman" w:hAnsi="Arial" w:cs="Arial"/>
          <w:b/>
          <w:bCs/>
          <w:i/>
          <w:sz w:val="20"/>
          <w:szCs w:val="20"/>
          <w:lang w:eastAsia="ar-SA"/>
        </w:rPr>
        <w:t>PN 2.1 Širitev širokopasovnih storitev</w:t>
      </w:r>
    </w:p>
    <w:p w14:paraId="7E6A161C" w14:textId="77777777" w:rsidR="00C87588" w:rsidRPr="00DA2344" w:rsidRDefault="00C87588" w:rsidP="00C87588">
      <w:pPr>
        <w:spacing w:after="0" w:line="240" w:lineRule="auto"/>
        <w:jc w:val="both"/>
        <w:rPr>
          <w:rFonts w:asciiTheme="minorHAnsi" w:eastAsia="Times New Roman" w:hAnsiTheme="minorHAnsi" w:cstheme="minorBidi"/>
          <w:color w:val="000000"/>
          <w:sz w:val="18"/>
          <w:szCs w:val="18"/>
          <w:lang w:eastAsia="sl-SI"/>
        </w:rPr>
      </w:pPr>
      <w:r>
        <w:rPr>
          <w:rFonts w:ascii="Arial" w:hAnsi="Arial" w:cs="Arial"/>
          <w:sz w:val="20"/>
          <w:szCs w:val="20"/>
        </w:rPr>
        <w:t>Z</w:t>
      </w:r>
      <w:r w:rsidRPr="00DA2344">
        <w:rPr>
          <w:rFonts w:ascii="Arial" w:hAnsi="Arial" w:cs="Arial"/>
          <w:sz w:val="20"/>
          <w:szCs w:val="20"/>
        </w:rPr>
        <w:t>n</w:t>
      </w:r>
      <w:r>
        <w:rPr>
          <w:rFonts w:ascii="Arial" w:hAnsi="Arial" w:cs="Arial"/>
          <w:sz w:val="20"/>
          <w:szCs w:val="20"/>
        </w:rPr>
        <w:t xml:space="preserve">ižanje </w:t>
      </w:r>
      <w:r w:rsidRPr="00261B99">
        <w:rPr>
          <w:rFonts w:ascii="Arial" w:eastAsiaTheme="minorHAnsi" w:hAnsi="Arial" w:cs="Arial"/>
          <w:sz w:val="20"/>
          <w:szCs w:val="20"/>
        </w:rPr>
        <w:t>sredstev za 22.785.317 evrov</w:t>
      </w:r>
      <w:r w:rsidRPr="00DA2344">
        <w:rPr>
          <w:rFonts w:ascii="Arial" w:hAnsi="Arial" w:cs="Arial"/>
          <w:sz w:val="20"/>
          <w:szCs w:val="20"/>
        </w:rPr>
        <w:t xml:space="preserve"> in sicer:</w:t>
      </w:r>
    </w:p>
    <w:p w14:paraId="46DF1A0C" w14:textId="77777777" w:rsidR="00C87588" w:rsidRDefault="00C87588" w:rsidP="00C87588">
      <w:pPr>
        <w:pStyle w:val="Odstavekseznama"/>
        <w:numPr>
          <w:ilvl w:val="0"/>
          <w:numId w:val="36"/>
        </w:numPr>
        <w:spacing w:after="0" w:line="240" w:lineRule="auto"/>
        <w:ind w:left="360"/>
        <w:jc w:val="both"/>
        <w:rPr>
          <w:rFonts w:ascii="Arial" w:hAnsi="Arial" w:cs="Arial"/>
          <w:sz w:val="20"/>
          <w:szCs w:val="20"/>
        </w:rPr>
      </w:pPr>
      <w:r w:rsidRPr="00261B99">
        <w:rPr>
          <w:rFonts w:ascii="Arial" w:hAnsi="Arial" w:cs="Arial"/>
          <w:sz w:val="20"/>
          <w:szCs w:val="20"/>
        </w:rPr>
        <w:t>prerazporeditev 14.000.000 evrov</w:t>
      </w:r>
      <w:r>
        <w:rPr>
          <w:rFonts w:ascii="Arial" w:hAnsi="Arial" w:cs="Arial"/>
          <w:sz w:val="20"/>
          <w:szCs w:val="20"/>
        </w:rPr>
        <w:t xml:space="preserve"> na PN 1.2,</w:t>
      </w:r>
      <w:r w:rsidRPr="00261B99">
        <w:rPr>
          <w:rFonts w:ascii="Arial" w:hAnsi="Arial" w:cs="Arial"/>
          <w:sz w:val="20"/>
          <w:szCs w:val="20"/>
        </w:rPr>
        <w:t xml:space="preserve"> </w:t>
      </w:r>
    </w:p>
    <w:p w14:paraId="77F70B28" w14:textId="77777777" w:rsidR="00C87588" w:rsidRDefault="00C87588" w:rsidP="00C87588">
      <w:pPr>
        <w:pStyle w:val="Odstavekseznama"/>
        <w:numPr>
          <w:ilvl w:val="0"/>
          <w:numId w:val="36"/>
        </w:numPr>
        <w:spacing w:after="0" w:line="240" w:lineRule="auto"/>
        <w:ind w:left="360"/>
        <w:jc w:val="both"/>
        <w:rPr>
          <w:rFonts w:ascii="Arial" w:hAnsi="Arial" w:cs="Arial"/>
          <w:sz w:val="20"/>
          <w:szCs w:val="20"/>
        </w:rPr>
      </w:pPr>
      <w:r w:rsidRPr="00261B99">
        <w:rPr>
          <w:rFonts w:ascii="Arial" w:hAnsi="Arial" w:cs="Arial"/>
          <w:sz w:val="20"/>
          <w:szCs w:val="20"/>
        </w:rPr>
        <w:t>prerazporeditev 6.007.995</w:t>
      </w:r>
      <w:r w:rsidRPr="0036451F">
        <w:rPr>
          <w:rFonts w:ascii="Arial" w:hAnsi="Arial" w:cs="Arial"/>
          <w:sz w:val="20"/>
          <w:szCs w:val="20"/>
        </w:rPr>
        <w:t xml:space="preserve"> </w:t>
      </w:r>
      <w:r w:rsidRPr="00261B99">
        <w:rPr>
          <w:rFonts w:ascii="Arial" w:hAnsi="Arial" w:cs="Arial"/>
          <w:sz w:val="20"/>
          <w:szCs w:val="20"/>
        </w:rPr>
        <w:t>evrov na PN 4.4</w:t>
      </w:r>
      <w:r>
        <w:rPr>
          <w:rFonts w:ascii="Arial" w:hAnsi="Arial" w:cs="Arial"/>
          <w:sz w:val="20"/>
          <w:szCs w:val="20"/>
        </w:rPr>
        <w:t>,</w:t>
      </w:r>
    </w:p>
    <w:p w14:paraId="5B7404B3" w14:textId="77777777" w:rsidR="00C87588" w:rsidRPr="00261B99" w:rsidRDefault="00C87588" w:rsidP="00C87588">
      <w:pPr>
        <w:pStyle w:val="Odstavekseznama"/>
        <w:numPr>
          <w:ilvl w:val="0"/>
          <w:numId w:val="36"/>
        </w:numPr>
        <w:spacing w:after="0" w:line="240" w:lineRule="auto"/>
        <w:ind w:left="360"/>
        <w:jc w:val="both"/>
        <w:rPr>
          <w:rFonts w:ascii="Arial" w:hAnsi="Arial" w:cs="Arial"/>
          <w:sz w:val="20"/>
          <w:szCs w:val="20"/>
        </w:rPr>
      </w:pPr>
      <w:r>
        <w:rPr>
          <w:rFonts w:ascii="Arial" w:hAnsi="Arial" w:cs="Arial"/>
          <w:sz w:val="20"/>
          <w:szCs w:val="20"/>
        </w:rPr>
        <w:t xml:space="preserve">prerazporeditev </w:t>
      </w:r>
      <w:r w:rsidRPr="0036451F">
        <w:rPr>
          <w:rFonts w:ascii="Arial" w:hAnsi="Arial" w:cs="Arial"/>
          <w:sz w:val="20"/>
          <w:szCs w:val="20"/>
        </w:rPr>
        <w:t xml:space="preserve">2.777.322 </w:t>
      </w:r>
      <w:r w:rsidRPr="00261B99">
        <w:rPr>
          <w:rFonts w:ascii="Arial" w:hAnsi="Arial" w:cs="Arial"/>
          <w:sz w:val="20"/>
          <w:szCs w:val="20"/>
        </w:rPr>
        <w:t>evrov na PN 7.1 - za zagotovitev sredstev za 2. tir Divača Koper</w:t>
      </w:r>
      <w:r>
        <w:rPr>
          <w:rFonts w:ascii="Arial" w:hAnsi="Arial" w:cs="Arial"/>
          <w:sz w:val="20"/>
          <w:szCs w:val="20"/>
        </w:rPr>
        <w:t>.</w:t>
      </w:r>
    </w:p>
    <w:p w14:paraId="0CE53AF2" w14:textId="77777777" w:rsidR="00C87588" w:rsidRDefault="00C87588" w:rsidP="00C87588">
      <w:pPr>
        <w:spacing w:after="0"/>
        <w:jc w:val="both"/>
        <w:rPr>
          <w:rFonts w:ascii="Arial" w:hAnsi="Arial" w:cs="Arial"/>
          <w:sz w:val="20"/>
          <w:szCs w:val="20"/>
        </w:rPr>
      </w:pPr>
    </w:p>
    <w:p w14:paraId="51130950" w14:textId="77777777" w:rsidR="00C87588" w:rsidRDefault="00C87588" w:rsidP="00C87588">
      <w:pPr>
        <w:spacing w:after="120"/>
        <w:jc w:val="both"/>
        <w:rPr>
          <w:rFonts w:ascii="Arial" w:hAnsi="Arial" w:cs="Arial"/>
          <w:sz w:val="20"/>
          <w:szCs w:val="20"/>
        </w:rPr>
      </w:pPr>
      <w:r w:rsidRPr="0018595C">
        <w:rPr>
          <w:rFonts w:ascii="Arial" w:hAnsi="Arial" w:cs="Arial"/>
          <w:sz w:val="20"/>
          <w:szCs w:val="20"/>
        </w:rPr>
        <w:t>Skladno z zagotavljanjem predhodne pogojenosti je bilo narejeno testiranje tržnega interesa za zagotavljanje dostopa do širokopasovnih omrežij, ki je pokazalo, da za zagotovitev c</w:t>
      </w:r>
      <w:r>
        <w:rPr>
          <w:rFonts w:ascii="Arial" w:hAnsi="Arial" w:cs="Arial"/>
          <w:sz w:val="20"/>
          <w:szCs w:val="20"/>
        </w:rPr>
        <w:t xml:space="preserve">iljev ni potrebnih </w:t>
      </w:r>
      <w:r w:rsidRPr="00261B99">
        <w:rPr>
          <w:rFonts w:ascii="Arial" w:eastAsiaTheme="minorHAnsi" w:hAnsi="Arial" w:cs="Arial"/>
          <w:sz w:val="20"/>
          <w:szCs w:val="20"/>
        </w:rPr>
        <w:t xml:space="preserve">22.785.317 </w:t>
      </w:r>
      <w:r>
        <w:rPr>
          <w:rFonts w:ascii="Arial" w:hAnsi="Arial" w:cs="Arial"/>
          <w:sz w:val="20"/>
          <w:szCs w:val="20"/>
        </w:rPr>
        <w:t>evrov</w:t>
      </w:r>
      <w:r w:rsidRPr="0018595C">
        <w:rPr>
          <w:rFonts w:ascii="Arial" w:hAnsi="Arial" w:cs="Arial"/>
          <w:sz w:val="20"/>
          <w:szCs w:val="20"/>
        </w:rPr>
        <w:t xml:space="preserve"> sredstev ESRR, od tega v manj razviti regiji </w:t>
      </w:r>
      <w:r>
        <w:rPr>
          <w:rFonts w:ascii="Arial" w:hAnsi="Arial" w:cs="Arial"/>
          <w:sz w:val="20"/>
          <w:szCs w:val="20"/>
        </w:rPr>
        <w:t>12.777.322 evrov</w:t>
      </w:r>
      <w:r w:rsidRPr="0018595C">
        <w:rPr>
          <w:rFonts w:ascii="Arial" w:hAnsi="Arial" w:cs="Arial"/>
          <w:sz w:val="20"/>
          <w:szCs w:val="20"/>
        </w:rPr>
        <w:t xml:space="preserve"> (Vzhod) in </w:t>
      </w:r>
      <w:r>
        <w:rPr>
          <w:rFonts w:ascii="Arial" w:hAnsi="Arial" w:cs="Arial"/>
          <w:sz w:val="20"/>
          <w:szCs w:val="20"/>
        </w:rPr>
        <w:t>10.007.995 evrov</w:t>
      </w:r>
      <w:r w:rsidRPr="0018595C">
        <w:rPr>
          <w:rFonts w:ascii="Arial" w:hAnsi="Arial" w:cs="Arial"/>
          <w:sz w:val="20"/>
          <w:szCs w:val="20"/>
        </w:rPr>
        <w:t xml:space="preserve"> ESRR v bolj razviti regiji (Zahod).</w:t>
      </w:r>
    </w:p>
    <w:p w14:paraId="62593321" w14:textId="77777777" w:rsidR="00C87588" w:rsidRDefault="00C87588" w:rsidP="00C87588">
      <w:pPr>
        <w:spacing w:after="120"/>
        <w:jc w:val="both"/>
        <w:rPr>
          <w:rFonts w:ascii="Arial" w:eastAsia="Times New Roman" w:hAnsi="Arial" w:cs="Arial"/>
          <w:b/>
          <w:bCs/>
          <w:sz w:val="20"/>
          <w:szCs w:val="20"/>
          <w:lang w:eastAsia="ar-SA"/>
        </w:rPr>
      </w:pPr>
    </w:p>
    <w:p w14:paraId="130B5680" w14:textId="77777777" w:rsidR="00C87588" w:rsidRPr="00F14681" w:rsidRDefault="00C87588" w:rsidP="00C87588">
      <w:pPr>
        <w:spacing w:after="120"/>
        <w:jc w:val="both"/>
        <w:rPr>
          <w:rFonts w:ascii="Arial" w:eastAsia="Times New Roman" w:hAnsi="Arial" w:cs="Arial"/>
          <w:b/>
          <w:bCs/>
          <w:i/>
          <w:sz w:val="20"/>
          <w:szCs w:val="20"/>
          <w:lang w:eastAsia="ar-SA"/>
        </w:rPr>
      </w:pPr>
      <w:r w:rsidRPr="00F14681">
        <w:rPr>
          <w:rFonts w:ascii="Arial" w:eastAsia="Times New Roman" w:hAnsi="Arial" w:cs="Arial"/>
          <w:b/>
          <w:bCs/>
          <w:i/>
          <w:sz w:val="20"/>
          <w:szCs w:val="20"/>
          <w:lang w:eastAsia="ar-SA"/>
        </w:rPr>
        <w:t>PN 3.1 Spodbujanje podjetništva</w:t>
      </w:r>
    </w:p>
    <w:p w14:paraId="35023A5A" w14:textId="77777777" w:rsidR="00C87588" w:rsidRDefault="00C87588" w:rsidP="00C87588">
      <w:pPr>
        <w:pStyle w:val="Odstavekseznama"/>
        <w:numPr>
          <w:ilvl w:val="0"/>
          <w:numId w:val="37"/>
        </w:numPr>
        <w:spacing w:after="120"/>
        <w:jc w:val="both"/>
        <w:rPr>
          <w:rFonts w:ascii="Arial" w:hAnsi="Arial" w:cs="Arial"/>
          <w:sz w:val="20"/>
          <w:szCs w:val="20"/>
          <w:lang w:eastAsia="ar-SA"/>
        </w:rPr>
      </w:pPr>
      <w:r w:rsidRPr="00DA2344">
        <w:rPr>
          <w:rFonts w:ascii="Arial" w:hAnsi="Arial" w:cs="Arial"/>
          <w:sz w:val="20"/>
          <w:szCs w:val="20"/>
          <w:lang w:eastAsia="ar-SA"/>
        </w:rPr>
        <w:t>Prenos povratnih sredstev (FI) na nepovratna sredstva v znesku</w:t>
      </w:r>
      <w:r w:rsidRPr="00DA2344">
        <w:rPr>
          <w:rFonts w:ascii="Arial" w:hAnsi="Arial" w:cs="Arial"/>
          <w:b/>
          <w:sz w:val="20"/>
          <w:szCs w:val="20"/>
          <w:lang w:eastAsia="ar-SA"/>
        </w:rPr>
        <w:t xml:space="preserve"> </w:t>
      </w:r>
      <w:r>
        <w:rPr>
          <w:rFonts w:ascii="Arial" w:hAnsi="Arial" w:cs="Arial"/>
          <w:sz w:val="20"/>
          <w:szCs w:val="20"/>
        </w:rPr>
        <w:t>120</w:t>
      </w:r>
      <w:r w:rsidRPr="00DA2344">
        <w:rPr>
          <w:rFonts w:ascii="Arial" w:hAnsi="Arial" w:cs="Arial"/>
          <w:sz w:val="20"/>
          <w:szCs w:val="20"/>
        </w:rPr>
        <w:t>.000.000</w:t>
      </w:r>
      <w:r>
        <w:rPr>
          <w:rFonts w:ascii="Arial" w:hAnsi="Arial" w:cs="Arial"/>
          <w:sz w:val="20"/>
          <w:szCs w:val="20"/>
        </w:rPr>
        <w:t xml:space="preserve"> evrov</w:t>
      </w:r>
      <w:r w:rsidRPr="00DA2344">
        <w:rPr>
          <w:rFonts w:ascii="Arial" w:hAnsi="Arial" w:cs="Arial"/>
          <w:sz w:val="20"/>
          <w:szCs w:val="20"/>
        </w:rPr>
        <w:t xml:space="preserve"> sredstev </w:t>
      </w:r>
      <w:r w:rsidRPr="00DA2344">
        <w:rPr>
          <w:rFonts w:ascii="Arial" w:hAnsi="Arial" w:cs="Arial"/>
          <w:sz w:val="20"/>
          <w:szCs w:val="20"/>
          <w:lang w:eastAsia="ar-SA"/>
        </w:rPr>
        <w:t>ESRR in sice</w:t>
      </w:r>
      <w:r>
        <w:rPr>
          <w:rFonts w:ascii="Arial" w:hAnsi="Arial" w:cs="Arial"/>
          <w:sz w:val="20"/>
          <w:szCs w:val="20"/>
          <w:lang w:eastAsia="ar-SA"/>
        </w:rPr>
        <w:t>r v manj razviti regiji (Vzhod).</w:t>
      </w:r>
    </w:p>
    <w:p w14:paraId="31855DF8" w14:textId="261201C0" w:rsidR="00C87588" w:rsidRPr="00AB01F1" w:rsidRDefault="00C87588" w:rsidP="00C87588">
      <w:pPr>
        <w:pStyle w:val="Odstavekseznama"/>
        <w:numPr>
          <w:ilvl w:val="0"/>
          <w:numId w:val="37"/>
        </w:numPr>
        <w:rPr>
          <w:rFonts w:eastAsia="Times New Roman"/>
          <w:color w:val="000000" w:themeColor="text1"/>
          <w:sz w:val="18"/>
          <w:szCs w:val="18"/>
          <w:lang w:eastAsia="sl-SI"/>
        </w:rPr>
      </w:pPr>
      <w:r w:rsidRPr="00AB01F1">
        <w:rPr>
          <w:rFonts w:ascii="Arial" w:hAnsi="Arial" w:cs="Arial"/>
          <w:sz w:val="20"/>
          <w:szCs w:val="20"/>
          <w:lang w:eastAsia="ar-SA"/>
        </w:rPr>
        <w:t xml:space="preserve">39.010.050 </w:t>
      </w:r>
      <w:r>
        <w:rPr>
          <w:rFonts w:ascii="Arial" w:hAnsi="Arial" w:cs="Arial"/>
          <w:sz w:val="20"/>
          <w:szCs w:val="20"/>
          <w:lang w:eastAsia="ar-SA"/>
        </w:rPr>
        <w:t>evrov</w:t>
      </w:r>
      <w:r w:rsidRPr="00AB01F1">
        <w:rPr>
          <w:rFonts w:ascii="Arial" w:hAnsi="Arial" w:cs="Arial"/>
          <w:sz w:val="20"/>
          <w:szCs w:val="20"/>
          <w:lang w:eastAsia="ar-SA"/>
        </w:rPr>
        <w:t xml:space="preserve"> </w:t>
      </w:r>
      <w:r>
        <w:rPr>
          <w:rFonts w:ascii="Arial" w:hAnsi="Arial" w:cs="Arial"/>
          <w:sz w:val="20"/>
          <w:szCs w:val="20"/>
          <w:lang w:eastAsia="ar-SA"/>
        </w:rPr>
        <w:t xml:space="preserve">nepovratnih sredstev </w:t>
      </w:r>
      <w:r w:rsidRPr="00AB01F1">
        <w:rPr>
          <w:rFonts w:ascii="Arial" w:hAnsi="Arial" w:cs="Arial"/>
          <w:sz w:val="20"/>
          <w:szCs w:val="20"/>
          <w:lang w:eastAsia="ar-SA"/>
        </w:rPr>
        <w:t>ostaja na PN</w:t>
      </w:r>
      <w:r>
        <w:rPr>
          <w:rFonts w:ascii="Arial" w:hAnsi="Arial" w:cs="Arial"/>
          <w:sz w:val="20"/>
          <w:szCs w:val="20"/>
          <w:lang w:eastAsia="ar-SA"/>
        </w:rPr>
        <w:t xml:space="preserve"> 3.1; od tega 1</w:t>
      </w:r>
      <w:r w:rsidRPr="00AB01F1">
        <w:rPr>
          <w:rFonts w:ascii="Arial" w:hAnsi="Arial" w:cs="Arial"/>
          <w:sz w:val="20"/>
          <w:szCs w:val="20"/>
          <w:lang w:eastAsia="ar-SA"/>
        </w:rPr>
        <w:t xml:space="preserve">9.010.050 </w:t>
      </w:r>
      <w:r>
        <w:rPr>
          <w:rFonts w:ascii="Arial" w:hAnsi="Arial" w:cs="Arial"/>
          <w:sz w:val="20"/>
          <w:szCs w:val="20"/>
          <w:lang w:eastAsia="ar-SA"/>
        </w:rPr>
        <w:t>evrov</w:t>
      </w:r>
      <w:r w:rsidRPr="00AB01F1">
        <w:rPr>
          <w:rFonts w:ascii="Arial" w:hAnsi="Arial" w:cs="Arial"/>
          <w:sz w:val="20"/>
          <w:szCs w:val="20"/>
          <w:lang w:eastAsia="ar-SA"/>
        </w:rPr>
        <w:t xml:space="preserve"> za </w:t>
      </w:r>
      <w:r w:rsidRPr="000A2550">
        <w:rPr>
          <w:rFonts w:ascii="Arial" w:hAnsi="Arial" w:cs="Arial"/>
          <w:sz w:val="20"/>
          <w:szCs w:val="20"/>
          <w:lang w:eastAsia="ar-SA"/>
        </w:rPr>
        <w:t>DRR in 10.000.0</w:t>
      </w:r>
      <w:r w:rsidR="000A2550" w:rsidRPr="000A2550">
        <w:rPr>
          <w:rFonts w:ascii="Arial" w:hAnsi="Arial" w:cs="Arial"/>
          <w:sz w:val="20"/>
          <w:szCs w:val="20"/>
          <w:lang w:eastAsia="ar-SA"/>
        </w:rPr>
        <w:t>0</w:t>
      </w:r>
      <w:r w:rsidRPr="000A2550">
        <w:rPr>
          <w:rFonts w:ascii="Arial" w:hAnsi="Arial" w:cs="Arial"/>
          <w:sz w:val="20"/>
          <w:szCs w:val="20"/>
          <w:lang w:eastAsia="ar-SA"/>
        </w:rPr>
        <w:t>0</w:t>
      </w:r>
      <w:r w:rsidRPr="00AB01F1">
        <w:rPr>
          <w:rFonts w:ascii="Arial" w:hAnsi="Arial" w:cs="Arial"/>
          <w:sz w:val="20"/>
          <w:szCs w:val="20"/>
          <w:lang w:eastAsia="ar-SA"/>
        </w:rPr>
        <w:t xml:space="preserve"> </w:t>
      </w:r>
      <w:r>
        <w:rPr>
          <w:rFonts w:ascii="Arial" w:hAnsi="Arial" w:cs="Arial"/>
          <w:sz w:val="20"/>
          <w:szCs w:val="20"/>
          <w:lang w:eastAsia="ar-SA"/>
        </w:rPr>
        <w:t>evrov</w:t>
      </w:r>
      <w:r w:rsidRPr="00AB01F1">
        <w:rPr>
          <w:rFonts w:ascii="Arial" w:hAnsi="Arial" w:cs="Arial"/>
          <w:sz w:val="20"/>
          <w:szCs w:val="20"/>
          <w:lang w:eastAsia="ar-SA"/>
        </w:rPr>
        <w:t xml:space="preserve"> za vzpostavitev proizvodnje lesa v V</w:t>
      </w:r>
      <w:r>
        <w:rPr>
          <w:rFonts w:ascii="Arial" w:hAnsi="Arial" w:cs="Arial"/>
          <w:sz w:val="20"/>
          <w:szCs w:val="20"/>
          <w:lang w:eastAsia="ar-SA"/>
        </w:rPr>
        <w:t>zhodni</w:t>
      </w:r>
      <w:r w:rsidRPr="00AB01F1">
        <w:rPr>
          <w:rFonts w:ascii="Arial" w:hAnsi="Arial" w:cs="Arial"/>
          <w:sz w:val="20"/>
          <w:szCs w:val="20"/>
          <w:lang w:eastAsia="ar-SA"/>
        </w:rPr>
        <w:t xml:space="preserve"> kohezijski regiji</w:t>
      </w:r>
      <w:r>
        <w:rPr>
          <w:rFonts w:ascii="Arial" w:hAnsi="Arial" w:cs="Arial"/>
          <w:sz w:val="20"/>
          <w:szCs w:val="20"/>
          <w:lang w:eastAsia="ar-SA"/>
        </w:rPr>
        <w:t xml:space="preserve"> in 10.000.000 evrov za druge ukrepe potrebne za dosego zastavljenih ciljev.</w:t>
      </w:r>
    </w:p>
    <w:p w14:paraId="6472D3AD" w14:textId="77777777" w:rsidR="00C87588" w:rsidRDefault="00C87588" w:rsidP="00C87588">
      <w:pPr>
        <w:pStyle w:val="Odstavekseznama"/>
        <w:numPr>
          <w:ilvl w:val="0"/>
          <w:numId w:val="37"/>
        </w:numPr>
        <w:rPr>
          <w:rFonts w:ascii="Arial" w:hAnsi="Arial" w:cs="Arial"/>
          <w:sz w:val="20"/>
          <w:szCs w:val="20"/>
          <w:lang w:eastAsia="ar-SA"/>
        </w:rPr>
      </w:pPr>
      <w:r>
        <w:rPr>
          <w:rFonts w:ascii="Arial" w:hAnsi="Arial" w:cs="Arial"/>
          <w:sz w:val="20"/>
          <w:szCs w:val="20"/>
        </w:rPr>
        <w:t>Z</w:t>
      </w:r>
      <w:r w:rsidRPr="00DA2344">
        <w:rPr>
          <w:rFonts w:ascii="Arial" w:hAnsi="Arial" w:cs="Arial"/>
          <w:sz w:val="20"/>
          <w:szCs w:val="20"/>
        </w:rPr>
        <w:t>nižanje sredstev za</w:t>
      </w:r>
      <w:r>
        <w:rPr>
          <w:rFonts w:ascii="Arial" w:hAnsi="Arial" w:cs="Arial"/>
          <w:sz w:val="20"/>
          <w:szCs w:val="20"/>
          <w:lang w:eastAsia="ar-SA"/>
        </w:rPr>
        <w:t xml:space="preserve"> </w:t>
      </w:r>
      <w:r w:rsidRPr="00AB01F1">
        <w:rPr>
          <w:rFonts w:ascii="Arial" w:hAnsi="Arial" w:cs="Arial"/>
          <w:sz w:val="20"/>
          <w:szCs w:val="20"/>
          <w:lang w:eastAsia="ar-SA"/>
        </w:rPr>
        <w:t xml:space="preserve">80.989.950 </w:t>
      </w:r>
      <w:r>
        <w:rPr>
          <w:rFonts w:ascii="Arial" w:hAnsi="Arial" w:cs="Arial"/>
          <w:sz w:val="20"/>
          <w:szCs w:val="20"/>
          <w:lang w:eastAsia="ar-SA"/>
        </w:rPr>
        <w:t>evrov</w:t>
      </w:r>
      <w:r w:rsidRPr="00AB01F1">
        <w:rPr>
          <w:rFonts w:ascii="Arial" w:hAnsi="Arial" w:cs="Arial"/>
          <w:sz w:val="20"/>
          <w:szCs w:val="20"/>
          <w:lang w:eastAsia="ar-SA"/>
        </w:rPr>
        <w:t xml:space="preserve"> </w:t>
      </w:r>
      <w:r>
        <w:rPr>
          <w:rFonts w:ascii="Arial" w:hAnsi="Arial" w:cs="Arial"/>
          <w:sz w:val="20"/>
          <w:szCs w:val="20"/>
          <w:lang w:eastAsia="ar-SA"/>
        </w:rPr>
        <w:t>in sicer</w:t>
      </w:r>
      <w:r w:rsidRPr="00AB01F1">
        <w:rPr>
          <w:rFonts w:ascii="Arial" w:hAnsi="Arial" w:cs="Arial"/>
          <w:sz w:val="20"/>
          <w:szCs w:val="20"/>
          <w:lang w:eastAsia="ar-SA"/>
        </w:rPr>
        <w:t>:</w:t>
      </w:r>
    </w:p>
    <w:p w14:paraId="242F72DC" w14:textId="77777777" w:rsidR="00C87588" w:rsidRDefault="00C87588" w:rsidP="00C87588">
      <w:pPr>
        <w:pStyle w:val="Odstavekseznama"/>
        <w:numPr>
          <w:ilvl w:val="0"/>
          <w:numId w:val="38"/>
        </w:numPr>
        <w:spacing w:after="0" w:line="240" w:lineRule="auto"/>
        <w:jc w:val="both"/>
        <w:rPr>
          <w:rFonts w:ascii="Arial" w:hAnsi="Arial" w:cs="Arial"/>
          <w:sz w:val="20"/>
          <w:szCs w:val="20"/>
        </w:rPr>
      </w:pPr>
      <w:r>
        <w:rPr>
          <w:rFonts w:ascii="Arial" w:hAnsi="Arial" w:cs="Arial"/>
          <w:sz w:val="20"/>
          <w:szCs w:val="20"/>
        </w:rPr>
        <w:t>prerazporeditev 5.000.000 evrov na PN 4.4 – trajnostna mobilnost (DRR),</w:t>
      </w:r>
    </w:p>
    <w:p w14:paraId="4B5621AF" w14:textId="77777777" w:rsidR="00C87588" w:rsidRDefault="00C87588" w:rsidP="00C87588">
      <w:pPr>
        <w:pStyle w:val="Odstavekseznama"/>
        <w:numPr>
          <w:ilvl w:val="0"/>
          <w:numId w:val="38"/>
        </w:numPr>
        <w:spacing w:after="0" w:line="240" w:lineRule="auto"/>
        <w:jc w:val="both"/>
        <w:rPr>
          <w:rFonts w:ascii="Arial" w:hAnsi="Arial" w:cs="Arial"/>
          <w:sz w:val="20"/>
          <w:szCs w:val="20"/>
        </w:rPr>
      </w:pPr>
      <w:r>
        <w:rPr>
          <w:rFonts w:ascii="Arial" w:hAnsi="Arial" w:cs="Arial"/>
          <w:sz w:val="20"/>
          <w:szCs w:val="20"/>
        </w:rPr>
        <w:t xml:space="preserve">prerazporeditev </w:t>
      </w:r>
      <w:r w:rsidRPr="00AB01F1">
        <w:rPr>
          <w:rFonts w:ascii="Arial" w:hAnsi="Arial" w:cs="Arial"/>
          <w:sz w:val="20"/>
          <w:szCs w:val="20"/>
          <w:lang w:eastAsia="ar-SA"/>
        </w:rPr>
        <w:t xml:space="preserve">10.000.000 </w:t>
      </w:r>
      <w:r>
        <w:rPr>
          <w:rFonts w:ascii="Arial" w:hAnsi="Arial" w:cs="Arial"/>
          <w:sz w:val="20"/>
          <w:szCs w:val="20"/>
          <w:lang w:eastAsia="ar-SA"/>
        </w:rPr>
        <w:t xml:space="preserve">evrov na </w:t>
      </w:r>
      <w:r w:rsidRPr="00AB01F1">
        <w:rPr>
          <w:rFonts w:ascii="Arial" w:hAnsi="Arial" w:cs="Arial"/>
          <w:sz w:val="20"/>
          <w:szCs w:val="20"/>
          <w:lang w:eastAsia="ar-SA"/>
        </w:rPr>
        <w:t>PN 6.1 področje voda (DRR)</w:t>
      </w:r>
      <w:r>
        <w:rPr>
          <w:rFonts w:ascii="Arial" w:hAnsi="Arial" w:cs="Arial"/>
          <w:sz w:val="20"/>
          <w:szCs w:val="20"/>
        </w:rPr>
        <w:t>,</w:t>
      </w:r>
    </w:p>
    <w:p w14:paraId="42572684" w14:textId="77777777" w:rsidR="00C87588" w:rsidRPr="00203463" w:rsidRDefault="00C87588" w:rsidP="00C87588">
      <w:pPr>
        <w:pStyle w:val="Odstavekseznama"/>
        <w:numPr>
          <w:ilvl w:val="0"/>
          <w:numId w:val="38"/>
        </w:numPr>
        <w:spacing w:after="0" w:line="240" w:lineRule="auto"/>
        <w:jc w:val="both"/>
        <w:rPr>
          <w:rFonts w:eastAsia="Times New Roman"/>
          <w:color w:val="000000"/>
          <w:sz w:val="20"/>
          <w:szCs w:val="20"/>
          <w:lang w:eastAsia="sl-SI"/>
        </w:rPr>
      </w:pPr>
      <w:r w:rsidRPr="00203463">
        <w:rPr>
          <w:rFonts w:ascii="Arial" w:hAnsi="Arial" w:cs="Arial"/>
          <w:sz w:val="20"/>
          <w:szCs w:val="20"/>
        </w:rPr>
        <w:t xml:space="preserve">prerazporeditev </w:t>
      </w:r>
      <w:r>
        <w:rPr>
          <w:rFonts w:ascii="Arial" w:hAnsi="Arial" w:cs="Arial"/>
          <w:sz w:val="20"/>
          <w:szCs w:val="20"/>
          <w:lang w:eastAsia="ar-SA"/>
        </w:rPr>
        <w:t>37.222.678</w:t>
      </w:r>
      <w:r w:rsidRPr="00203463">
        <w:rPr>
          <w:rFonts w:ascii="Arial" w:hAnsi="Arial" w:cs="Arial"/>
          <w:sz w:val="20"/>
          <w:szCs w:val="20"/>
          <w:lang w:eastAsia="ar-SA"/>
        </w:rPr>
        <w:t xml:space="preserve"> evrov </w:t>
      </w:r>
      <w:r>
        <w:rPr>
          <w:rFonts w:ascii="Arial" w:hAnsi="Arial" w:cs="Arial"/>
          <w:sz w:val="20"/>
          <w:szCs w:val="20"/>
          <w:lang w:eastAsia="ar-SA"/>
        </w:rPr>
        <w:t>na PN 7.1 –</w:t>
      </w:r>
      <w:r w:rsidRPr="00203463">
        <w:rPr>
          <w:rFonts w:ascii="Arial" w:hAnsi="Arial" w:cs="Arial"/>
          <w:sz w:val="20"/>
          <w:szCs w:val="20"/>
          <w:lang w:eastAsia="ar-SA"/>
        </w:rPr>
        <w:t xml:space="preserve"> za zagotovitev sredstev za 2. tir Divača Koper</w:t>
      </w:r>
      <w:r>
        <w:rPr>
          <w:rFonts w:ascii="Arial" w:hAnsi="Arial" w:cs="Arial"/>
          <w:sz w:val="20"/>
          <w:szCs w:val="20"/>
        </w:rPr>
        <w:t>,</w:t>
      </w:r>
    </w:p>
    <w:p w14:paraId="246D7E08" w14:textId="77777777" w:rsidR="00C87588" w:rsidRPr="00F14681" w:rsidRDefault="00C87588" w:rsidP="00C87588">
      <w:pPr>
        <w:pStyle w:val="Odstavekseznama"/>
        <w:numPr>
          <w:ilvl w:val="0"/>
          <w:numId w:val="38"/>
        </w:numPr>
        <w:spacing w:after="0" w:line="240" w:lineRule="auto"/>
        <w:jc w:val="both"/>
        <w:rPr>
          <w:rFonts w:eastAsia="Times New Roman"/>
          <w:color w:val="000000"/>
          <w:sz w:val="20"/>
          <w:szCs w:val="20"/>
          <w:lang w:eastAsia="sl-SI"/>
        </w:rPr>
      </w:pPr>
      <w:r w:rsidRPr="00203463">
        <w:rPr>
          <w:rFonts w:ascii="Arial" w:hAnsi="Arial" w:cs="Arial"/>
          <w:sz w:val="20"/>
          <w:szCs w:val="20"/>
        </w:rPr>
        <w:t xml:space="preserve">prerazporeditev </w:t>
      </w:r>
      <w:r>
        <w:rPr>
          <w:rFonts w:ascii="Arial" w:hAnsi="Arial" w:cs="Arial"/>
          <w:sz w:val="20"/>
          <w:szCs w:val="20"/>
          <w:lang w:eastAsia="ar-SA"/>
        </w:rPr>
        <w:t>28.767.272</w:t>
      </w:r>
      <w:r w:rsidRPr="00203463">
        <w:rPr>
          <w:rFonts w:ascii="Arial" w:hAnsi="Arial" w:cs="Arial"/>
          <w:sz w:val="20"/>
          <w:szCs w:val="20"/>
          <w:lang w:eastAsia="ar-SA"/>
        </w:rPr>
        <w:t xml:space="preserve"> evrov za projekte državnih cest širšega regionalnega pomena in projektiranje 3. razvojne osi</w:t>
      </w:r>
      <w:r>
        <w:rPr>
          <w:rFonts w:ascii="Arial" w:hAnsi="Arial" w:cs="Arial"/>
          <w:sz w:val="20"/>
          <w:szCs w:val="20"/>
          <w:lang w:eastAsia="ar-SA"/>
        </w:rPr>
        <w:t>.</w:t>
      </w:r>
    </w:p>
    <w:p w14:paraId="1788B7D9" w14:textId="7FEC2E5D" w:rsidR="00C87588" w:rsidRPr="00203463" w:rsidRDefault="00C87588" w:rsidP="00C87588">
      <w:pPr>
        <w:pStyle w:val="Odstavekseznama"/>
        <w:spacing w:after="0" w:line="240" w:lineRule="auto"/>
        <w:jc w:val="both"/>
        <w:rPr>
          <w:rFonts w:eastAsia="Times New Roman"/>
          <w:color w:val="000000"/>
          <w:sz w:val="20"/>
          <w:szCs w:val="20"/>
          <w:lang w:eastAsia="sl-SI"/>
        </w:rPr>
      </w:pPr>
    </w:p>
    <w:p w14:paraId="7301C97C" w14:textId="77777777" w:rsidR="00C87588" w:rsidRDefault="00C87588" w:rsidP="00C87588">
      <w:pPr>
        <w:spacing w:after="120"/>
        <w:jc w:val="both"/>
        <w:rPr>
          <w:rFonts w:ascii="Arial" w:hAnsi="Arial" w:cs="Arial"/>
          <w:color w:val="000000"/>
          <w:sz w:val="20"/>
          <w:szCs w:val="20"/>
        </w:rPr>
      </w:pPr>
      <w:r w:rsidRPr="00273F95">
        <w:rPr>
          <w:rFonts w:ascii="Arial" w:hAnsi="Arial" w:cs="Arial"/>
          <w:color w:val="000000"/>
          <w:sz w:val="20"/>
          <w:szCs w:val="20"/>
        </w:rPr>
        <w:t xml:space="preserve">Pričakovan rezultat javnega razpisa </w:t>
      </w:r>
      <w:r>
        <w:rPr>
          <w:rFonts w:ascii="Arial" w:hAnsi="Arial" w:cs="Arial"/>
          <w:color w:val="000000"/>
          <w:sz w:val="20"/>
          <w:szCs w:val="20"/>
        </w:rPr>
        <w:t xml:space="preserve">za področje predelave lesa v višini 10 milijonov evrov je sofinanciranje najmanj treh večjih </w:t>
      </w:r>
      <w:r w:rsidRPr="00273F95">
        <w:rPr>
          <w:rFonts w:ascii="Arial" w:hAnsi="Arial" w:cs="Arial"/>
          <w:color w:val="000000"/>
          <w:sz w:val="20"/>
          <w:szCs w:val="20"/>
        </w:rPr>
        <w:t>pr</w:t>
      </w:r>
      <w:r>
        <w:rPr>
          <w:rFonts w:ascii="Arial" w:hAnsi="Arial" w:cs="Arial"/>
          <w:color w:val="000000"/>
          <w:sz w:val="20"/>
          <w:szCs w:val="20"/>
        </w:rPr>
        <w:t>ojektov</w:t>
      </w:r>
      <w:r w:rsidRPr="00273F95">
        <w:rPr>
          <w:rFonts w:ascii="Arial" w:hAnsi="Arial" w:cs="Arial"/>
          <w:color w:val="000000"/>
          <w:sz w:val="20"/>
          <w:szCs w:val="20"/>
        </w:rPr>
        <w:t xml:space="preserve">, ki </w:t>
      </w:r>
      <w:r>
        <w:rPr>
          <w:rFonts w:ascii="Arial" w:hAnsi="Arial" w:cs="Arial"/>
          <w:color w:val="000000"/>
          <w:sz w:val="20"/>
          <w:szCs w:val="20"/>
        </w:rPr>
        <w:t>bodo</w:t>
      </w:r>
      <w:r w:rsidRPr="00273F95">
        <w:rPr>
          <w:rFonts w:ascii="Arial" w:hAnsi="Arial" w:cs="Arial"/>
          <w:color w:val="000000"/>
          <w:sz w:val="20"/>
          <w:szCs w:val="20"/>
        </w:rPr>
        <w:t xml:space="preserve"> uvedl</w:t>
      </w:r>
      <w:r>
        <w:rPr>
          <w:rFonts w:ascii="Arial" w:hAnsi="Arial" w:cs="Arial"/>
          <w:color w:val="000000"/>
          <w:sz w:val="20"/>
          <w:szCs w:val="20"/>
        </w:rPr>
        <w:t>i</w:t>
      </w:r>
      <w:r w:rsidRPr="00273F95">
        <w:rPr>
          <w:rFonts w:ascii="Arial" w:hAnsi="Arial" w:cs="Arial"/>
          <w:color w:val="000000"/>
          <w:sz w:val="20"/>
          <w:szCs w:val="20"/>
        </w:rPr>
        <w:t xml:space="preserve"> ukrepe za učinkovito ravnanje z viri ter povečanje števila zap</w:t>
      </w:r>
      <w:r>
        <w:rPr>
          <w:rFonts w:ascii="Arial" w:hAnsi="Arial" w:cs="Arial"/>
          <w:color w:val="000000"/>
          <w:sz w:val="20"/>
          <w:szCs w:val="20"/>
        </w:rPr>
        <w:t>oslenih.</w:t>
      </w:r>
    </w:p>
    <w:p w14:paraId="269B8918" w14:textId="77777777" w:rsidR="00C87588" w:rsidRDefault="00C87588" w:rsidP="00C87588">
      <w:pPr>
        <w:spacing w:after="120"/>
        <w:jc w:val="both"/>
        <w:rPr>
          <w:rFonts w:ascii="Arial" w:hAnsi="Arial" w:cs="Arial"/>
          <w:sz w:val="20"/>
          <w:szCs w:val="20"/>
          <w:lang w:eastAsia="ar-SA"/>
        </w:rPr>
      </w:pPr>
      <w:r>
        <w:rPr>
          <w:rFonts w:ascii="Arial" w:hAnsi="Arial" w:cs="Arial"/>
          <w:sz w:val="20"/>
          <w:szCs w:val="20"/>
        </w:rPr>
        <w:t xml:space="preserve">Prerazporeditev </w:t>
      </w:r>
      <w:r w:rsidRPr="00AB01F1">
        <w:rPr>
          <w:rFonts w:ascii="Arial" w:hAnsi="Arial" w:cs="Arial"/>
          <w:sz w:val="20"/>
          <w:szCs w:val="20"/>
          <w:lang w:eastAsia="ar-SA"/>
        </w:rPr>
        <w:t xml:space="preserve">10.000.000 </w:t>
      </w:r>
      <w:r>
        <w:rPr>
          <w:rFonts w:ascii="Arial" w:hAnsi="Arial" w:cs="Arial"/>
          <w:sz w:val="20"/>
          <w:szCs w:val="20"/>
          <w:lang w:eastAsia="ar-SA"/>
        </w:rPr>
        <w:t xml:space="preserve">na </w:t>
      </w:r>
      <w:r w:rsidRPr="00AB01F1">
        <w:rPr>
          <w:rFonts w:ascii="Arial" w:hAnsi="Arial" w:cs="Arial"/>
          <w:sz w:val="20"/>
          <w:szCs w:val="20"/>
          <w:lang w:eastAsia="ar-SA"/>
        </w:rPr>
        <w:t>PN 6.1 področje voda</w:t>
      </w:r>
      <w:r>
        <w:rPr>
          <w:rFonts w:ascii="Arial" w:hAnsi="Arial" w:cs="Arial"/>
          <w:sz w:val="20"/>
          <w:szCs w:val="20"/>
          <w:lang w:eastAsia="ar-SA"/>
        </w:rPr>
        <w:t xml:space="preserve"> se nameni za projekte odpadnih voda (zahteva EK), prepoznane v okviru DRR.</w:t>
      </w:r>
    </w:p>
    <w:p w14:paraId="37E7188A" w14:textId="77777777" w:rsidR="00C87588" w:rsidRDefault="00C87588" w:rsidP="00C87588">
      <w:pPr>
        <w:jc w:val="both"/>
        <w:rPr>
          <w:rFonts w:ascii="Arial" w:hAnsi="Arial" w:cs="Arial"/>
          <w:sz w:val="20"/>
          <w:szCs w:val="20"/>
        </w:rPr>
      </w:pPr>
      <w:r>
        <w:rPr>
          <w:rFonts w:ascii="Arial" w:hAnsi="Arial" w:cs="Arial"/>
          <w:sz w:val="20"/>
          <w:szCs w:val="20"/>
        </w:rPr>
        <w:t xml:space="preserve">S prerazporeditvijo </w:t>
      </w:r>
      <w:r>
        <w:rPr>
          <w:rFonts w:ascii="Arial" w:hAnsi="Arial" w:cs="Arial"/>
          <w:sz w:val="20"/>
          <w:szCs w:val="20"/>
          <w:lang w:eastAsia="ar-SA"/>
        </w:rPr>
        <w:t>37.222.678</w:t>
      </w:r>
      <w:r w:rsidRPr="00203463">
        <w:rPr>
          <w:rFonts w:ascii="Arial" w:hAnsi="Arial" w:cs="Arial"/>
          <w:sz w:val="20"/>
          <w:szCs w:val="20"/>
          <w:lang w:eastAsia="ar-SA"/>
        </w:rPr>
        <w:t xml:space="preserve"> </w:t>
      </w:r>
      <w:r>
        <w:rPr>
          <w:rFonts w:ascii="Arial" w:hAnsi="Arial" w:cs="Arial"/>
          <w:sz w:val="20"/>
          <w:szCs w:val="20"/>
          <w:lang w:eastAsia="ar-SA"/>
        </w:rPr>
        <w:t xml:space="preserve">evrov </w:t>
      </w:r>
      <w:r w:rsidRPr="00AB01F1">
        <w:rPr>
          <w:rFonts w:ascii="Arial" w:hAnsi="Arial" w:cs="Arial"/>
          <w:sz w:val="20"/>
          <w:szCs w:val="20"/>
          <w:lang w:eastAsia="ar-SA"/>
        </w:rPr>
        <w:t>na PN 7.1</w:t>
      </w:r>
      <w:r>
        <w:rPr>
          <w:rFonts w:ascii="Arial" w:hAnsi="Arial" w:cs="Arial"/>
          <w:sz w:val="20"/>
          <w:szCs w:val="20"/>
          <w:lang w:eastAsia="ar-SA"/>
        </w:rPr>
        <w:t xml:space="preserve"> se zagotavlja sredstva za izvedbo 2. tira Divača Koper kot ključnega ozkega grla identificiranega v okviru </w:t>
      </w:r>
      <w:r>
        <w:rPr>
          <w:rFonts w:ascii="Arial" w:hAnsi="Arial" w:cs="Arial"/>
          <w:sz w:val="20"/>
          <w:szCs w:val="20"/>
        </w:rPr>
        <w:t>Strategije</w:t>
      </w:r>
      <w:r w:rsidRPr="00A5027F">
        <w:rPr>
          <w:rFonts w:ascii="Arial" w:hAnsi="Arial" w:cs="Arial"/>
          <w:sz w:val="20"/>
          <w:szCs w:val="20"/>
        </w:rPr>
        <w:t xml:space="preserve"> razvoja prometa v Republiki Sloveniji, </w:t>
      </w:r>
      <w:r>
        <w:rPr>
          <w:rFonts w:ascii="Arial" w:hAnsi="Arial" w:cs="Arial"/>
          <w:sz w:val="20"/>
          <w:szCs w:val="20"/>
        </w:rPr>
        <w:t xml:space="preserve">ki temelji na </w:t>
      </w:r>
      <w:r w:rsidRPr="00A5027F">
        <w:rPr>
          <w:rFonts w:ascii="Arial" w:hAnsi="Arial" w:cs="Arial"/>
          <w:sz w:val="20"/>
          <w:szCs w:val="20"/>
        </w:rPr>
        <w:t xml:space="preserve"> študij</w:t>
      </w:r>
      <w:r>
        <w:rPr>
          <w:rFonts w:ascii="Arial" w:hAnsi="Arial" w:cs="Arial"/>
          <w:sz w:val="20"/>
          <w:szCs w:val="20"/>
        </w:rPr>
        <w:t xml:space="preserve">i </w:t>
      </w:r>
      <w:r w:rsidRPr="00A5027F">
        <w:rPr>
          <w:rFonts w:ascii="Arial" w:hAnsi="Arial" w:cs="Arial"/>
          <w:sz w:val="20"/>
          <w:szCs w:val="20"/>
        </w:rPr>
        <w:t>prometnih tokovih in prometnega modela</w:t>
      </w:r>
      <w:r>
        <w:rPr>
          <w:rFonts w:ascii="Arial" w:hAnsi="Arial" w:cs="Arial"/>
          <w:sz w:val="20"/>
          <w:szCs w:val="20"/>
        </w:rPr>
        <w:t>.</w:t>
      </w:r>
    </w:p>
    <w:p w14:paraId="37A5302A" w14:textId="171932D8" w:rsidR="00C87588" w:rsidRDefault="00C87588" w:rsidP="00C87588">
      <w:pPr>
        <w:jc w:val="both"/>
        <w:rPr>
          <w:rFonts w:ascii="Arial" w:hAnsi="Arial" w:cs="Arial"/>
          <w:sz w:val="20"/>
          <w:szCs w:val="20"/>
        </w:rPr>
      </w:pPr>
      <w:r w:rsidRPr="00DE2A52">
        <w:rPr>
          <w:rFonts w:ascii="Arial" w:hAnsi="Arial" w:cs="Arial"/>
          <w:sz w:val="20"/>
          <w:szCs w:val="20"/>
        </w:rPr>
        <w:t xml:space="preserve">Z namenom krepitve regionalnih razvojnih potencialov in ohranjanja delovnih mest se </w:t>
      </w:r>
      <w:r>
        <w:rPr>
          <w:rFonts w:ascii="Arial" w:hAnsi="Arial" w:cs="Arial"/>
          <w:sz w:val="20"/>
          <w:szCs w:val="20"/>
        </w:rPr>
        <w:t xml:space="preserve">z prerazporeditvijo </w:t>
      </w:r>
      <w:r>
        <w:rPr>
          <w:rFonts w:ascii="Arial" w:hAnsi="Arial" w:cs="Arial"/>
          <w:sz w:val="20"/>
          <w:szCs w:val="20"/>
          <w:lang w:eastAsia="ar-SA"/>
        </w:rPr>
        <w:t>28.767.272</w:t>
      </w:r>
      <w:r w:rsidRPr="00203463">
        <w:rPr>
          <w:rFonts w:ascii="Arial" w:hAnsi="Arial" w:cs="Arial"/>
          <w:sz w:val="20"/>
          <w:szCs w:val="20"/>
          <w:lang w:eastAsia="ar-SA"/>
        </w:rPr>
        <w:t xml:space="preserve"> </w:t>
      </w:r>
      <w:r>
        <w:rPr>
          <w:rFonts w:ascii="Arial" w:hAnsi="Arial" w:cs="Arial"/>
          <w:sz w:val="20"/>
          <w:szCs w:val="20"/>
          <w:lang w:eastAsia="ar-SA"/>
        </w:rPr>
        <w:t xml:space="preserve">evrov na PN 7.2 </w:t>
      </w:r>
      <w:r w:rsidRPr="00DE2A52">
        <w:rPr>
          <w:rFonts w:ascii="Arial" w:hAnsi="Arial" w:cs="Arial"/>
          <w:sz w:val="20"/>
          <w:szCs w:val="20"/>
        </w:rPr>
        <w:t xml:space="preserve">želi </w:t>
      </w:r>
      <w:r w:rsidRPr="000A2550">
        <w:rPr>
          <w:rFonts w:ascii="Arial" w:hAnsi="Arial" w:cs="Arial"/>
          <w:sz w:val="20"/>
          <w:szCs w:val="20"/>
        </w:rPr>
        <w:t>izboljšati dostopnost ljudi</w:t>
      </w:r>
      <w:r w:rsidR="000A2550">
        <w:rPr>
          <w:rFonts w:ascii="Arial" w:hAnsi="Arial" w:cs="Arial"/>
          <w:sz w:val="20"/>
          <w:szCs w:val="20"/>
        </w:rPr>
        <w:t xml:space="preserve"> do jedrnega </w:t>
      </w:r>
      <w:r w:rsidR="000A2550">
        <w:rPr>
          <w:rFonts w:ascii="Arial" w:hAnsi="Arial" w:cs="Arial"/>
          <w:sz w:val="20"/>
          <w:szCs w:val="20"/>
        </w:rPr>
        <w:lastRenderedPageBreak/>
        <w:t>omrežja</w:t>
      </w:r>
      <w:r w:rsidRPr="00DE2A52">
        <w:rPr>
          <w:rFonts w:ascii="Arial" w:hAnsi="Arial" w:cs="Arial"/>
          <w:sz w:val="20"/>
          <w:szCs w:val="20"/>
        </w:rPr>
        <w:t xml:space="preserve"> in razvoj gospodarstva v vseh regijah v Republiki Sloveniji. Investicije v te projekte imajo velik pomen za razvoj posameznih regij, tako z demografskega, kot tudi gospodarskega in okoljskega vidika. Prednostno se predvideva izgradnja manjkajoče cestne infrastrukture, ki ima širši regionalni vpliv in pospešitev priprave projekta izgradnje 3. razvojni osi.</w:t>
      </w:r>
    </w:p>
    <w:p w14:paraId="5735806A" w14:textId="77777777" w:rsidR="00C87588" w:rsidRDefault="00C87588" w:rsidP="00C87588">
      <w:pPr>
        <w:jc w:val="both"/>
        <w:rPr>
          <w:rFonts w:ascii="Arial" w:hAnsi="Arial" w:cs="Arial"/>
          <w:sz w:val="20"/>
          <w:szCs w:val="20"/>
        </w:rPr>
      </w:pPr>
    </w:p>
    <w:p w14:paraId="3A8C5573" w14:textId="77777777" w:rsidR="00C87588" w:rsidRPr="00434B75" w:rsidRDefault="00C87588" w:rsidP="00C87588">
      <w:pPr>
        <w:pStyle w:val="Odstavekseznama"/>
        <w:spacing w:after="120"/>
        <w:ind w:left="0"/>
        <w:jc w:val="both"/>
        <w:rPr>
          <w:rFonts w:ascii="Arial" w:hAnsi="Arial" w:cs="Arial"/>
          <w:b/>
          <w:i/>
          <w:sz w:val="20"/>
          <w:szCs w:val="20"/>
          <w:lang w:eastAsia="ar-SA"/>
        </w:rPr>
      </w:pPr>
      <w:r>
        <w:rPr>
          <w:rFonts w:ascii="Arial" w:hAnsi="Arial" w:cs="Arial"/>
          <w:b/>
          <w:i/>
          <w:sz w:val="20"/>
          <w:szCs w:val="20"/>
          <w:lang w:eastAsia="ar-SA"/>
        </w:rPr>
        <w:t>PN 4.1</w:t>
      </w:r>
      <w:r w:rsidRPr="00434B75">
        <w:rPr>
          <w:rFonts w:ascii="Arial" w:hAnsi="Arial" w:cs="Arial"/>
          <w:b/>
          <w:i/>
          <w:sz w:val="20"/>
          <w:szCs w:val="20"/>
          <w:lang w:eastAsia="ar-SA"/>
        </w:rPr>
        <w:t xml:space="preserve"> Spodbujanje energetske učinkovitosti</w:t>
      </w:r>
      <w:r>
        <w:rPr>
          <w:rFonts w:ascii="Arial" w:hAnsi="Arial" w:cs="Arial"/>
          <w:b/>
          <w:i/>
          <w:sz w:val="20"/>
          <w:szCs w:val="20"/>
          <w:lang w:eastAsia="ar-SA"/>
        </w:rPr>
        <w:t xml:space="preserve"> in PN 4.4</w:t>
      </w:r>
      <w:r w:rsidRPr="00434B75">
        <w:rPr>
          <w:rFonts w:ascii="Arial" w:eastAsia="Times New Roman" w:hAnsi="Arial" w:cs="Arial"/>
          <w:b/>
          <w:bCs/>
          <w:i/>
          <w:sz w:val="20"/>
          <w:szCs w:val="20"/>
          <w:lang w:eastAsia="ar-SA"/>
        </w:rPr>
        <w:t xml:space="preserve"> Spodbujanje </w:t>
      </w:r>
      <w:proofErr w:type="spellStart"/>
      <w:r w:rsidRPr="00434B75">
        <w:rPr>
          <w:rFonts w:ascii="Arial" w:eastAsia="Times New Roman" w:hAnsi="Arial" w:cs="Arial"/>
          <w:b/>
          <w:bCs/>
          <w:i/>
          <w:sz w:val="20"/>
          <w:szCs w:val="20"/>
          <w:lang w:eastAsia="ar-SA"/>
        </w:rPr>
        <w:t>multimodalne</w:t>
      </w:r>
      <w:proofErr w:type="spellEnd"/>
      <w:r w:rsidRPr="00434B75">
        <w:rPr>
          <w:rFonts w:ascii="Arial" w:eastAsia="Times New Roman" w:hAnsi="Arial" w:cs="Arial"/>
          <w:b/>
          <w:bCs/>
          <w:i/>
          <w:sz w:val="20"/>
          <w:szCs w:val="20"/>
          <w:lang w:eastAsia="ar-SA"/>
        </w:rPr>
        <w:t xml:space="preserve"> urbane mobilnosti</w:t>
      </w:r>
    </w:p>
    <w:p w14:paraId="34B6E8AE" w14:textId="77777777" w:rsidR="00C87588" w:rsidRPr="00E52885" w:rsidRDefault="00C87588" w:rsidP="00C87588">
      <w:pPr>
        <w:spacing w:after="0" w:line="240" w:lineRule="auto"/>
        <w:jc w:val="both"/>
        <w:rPr>
          <w:rFonts w:ascii="Arial" w:hAnsi="Arial" w:cs="Arial"/>
          <w:sz w:val="20"/>
          <w:szCs w:val="20"/>
        </w:rPr>
      </w:pPr>
      <w:r w:rsidRPr="00E52885">
        <w:rPr>
          <w:rFonts w:ascii="Helv" w:eastAsiaTheme="minorHAnsi" w:hAnsi="Helv" w:cs="Helv"/>
          <w:color w:val="000000"/>
          <w:sz w:val="20"/>
          <w:szCs w:val="20"/>
        </w:rPr>
        <w:t xml:space="preserve">Prenos povratnih sredstev (FI) na nepovratna sredstva v znesku 25.000.000 evrov se nameni </w:t>
      </w:r>
      <w:r>
        <w:rPr>
          <w:rFonts w:ascii="Helv" w:eastAsiaTheme="minorHAnsi" w:hAnsi="Helv" w:cs="Helv"/>
          <w:color w:val="000000"/>
          <w:sz w:val="20"/>
          <w:szCs w:val="20"/>
        </w:rPr>
        <w:t xml:space="preserve">v okviru PN 4.1 </w:t>
      </w:r>
      <w:r w:rsidRPr="00E52885">
        <w:rPr>
          <w:rFonts w:ascii="Helv" w:eastAsiaTheme="minorHAnsi" w:hAnsi="Helv" w:cs="Helv"/>
          <w:color w:val="000000"/>
          <w:sz w:val="20"/>
          <w:szCs w:val="20"/>
        </w:rPr>
        <w:t xml:space="preserve">za povečanje energetske učinkovitosti stavb </w:t>
      </w:r>
      <w:r>
        <w:rPr>
          <w:rFonts w:ascii="Helv" w:eastAsiaTheme="minorHAnsi" w:hAnsi="Helv" w:cs="Helv"/>
          <w:color w:val="000000"/>
          <w:sz w:val="20"/>
          <w:szCs w:val="20"/>
        </w:rPr>
        <w:t xml:space="preserve">v </w:t>
      </w:r>
      <w:r w:rsidRPr="00E52885">
        <w:rPr>
          <w:rFonts w:ascii="Helv" w:eastAsiaTheme="minorHAnsi" w:hAnsi="Helv" w:cs="Helv"/>
          <w:color w:val="000000"/>
          <w:sz w:val="20"/>
          <w:szCs w:val="20"/>
        </w:rPr>
        <w:t xml:space="preserve">lasti lokalnih skupnosti. </w:t>
      </w:r>
    </w:p>
    <w:p w14:paraId="6809351F" w14:textId="77777777" w:rsidR="00C87588" w:rsidRPr="00E52885" w:rsidRDefault="00C87588" w:rsidP="00C87588">
      <w:pPr>
        <w:spacing w:after="0" w:line="240" w:lineRule="auto"/>
        <w:jc w:val="both"/>
        <w:rPr>
          <w:rFonts w:ascii="Helv" w:eastAsiaTheme="minorHAnsi" w:hAnsi="Helv" w:cs="Helv"/>
          <w:color w:val="000000"/>
          <w:sz w:val="20"/>
          <w:szCs w:val="20"/>
        </w:rPr>
      </w:pPr>
    </w:p>
    <w:p w14:paraId="550DDF92" w14:textId="054A0883" w:rsidR="005F4555" w:rsidRDefault="00C87588" w:rsidP="005F4555">
      <w:pPr>
        <w:spacing w:after="120"/>
        <w:jc w:val="both"/>
        <w:rPr>
          <w:rFonts w:ascii="Arial" w:hAnsi="Arial" w:cs="Arial"/>
          <w:sz w:val="20"/>
          <w:szCs w:val="20"/>
        </w:rPr>
      </w:pPr>
      <w:r>
        <w:rPr>
          <w:rFonts w:ascii="Helv" w:eastAsiaTheme="minorHAnsi" w:hAnsi="Helv" w:cs="Helv"/>
          <w:color w:val="000000"/>
          <w:sz w:val="20"/>
          <w:szCs w:val="20"/>
        </w:rPr>
        <w:t>N</w:t>
      </w:r>
      <w:r w:rsidRPr="00E52885">
        <w:rPr>
          <w:rFonts w:ascii="Helv" w:eastAsiaTheme="minorHAnsi" w:hAnsi="Helv" w:cs="Helv"/>
          <w:color w:val="000000"/>
          <w:sz w:val="20"/>
          <w:szCs w:val="20"/>
        </w:rPr>
        <w:t xml:space="preserve">a PN 4.4 </w:t>
      </w:r>
      <w:r w:rsidRPr="00434B75">
        <w:rPr>
          <w:rFonts w:ascii="Arial" w:eastAsia="Times New Roman" w:hAnsi="Arial" w:cs="Arial"/>
          <w:bCs/>
          <w:i/>
          <w:sz w:val="20"/>
          <w:szCs w:val="20"/>
          <w:lang w:eastAsia="ar-SA"/>
        </w:rPr>
        <w:t xml:space="preserve">Spodbujanje </w:t>
      </w:r>
      <w:proofErr w:type="spellStart"/>
      <w:r w:rsidRPr="00434B75">
        <w:rPr>
          <w:rFonts w:ascii="Arial" w:eastAsia="Times New Roman" w:hAnsi="Arial" w:cs="Arial"/>
          <w:bCs/>
          <w:i/>
          <w:sz w:val="20"/>
          <w:szCs w:val="20"/>
          <w:lang w:eastAsia="ar-SA"/>
        </w:rPr>
        <w:t>multimodalne</w:t>
      </w:r>
      <w:proofErr w:type="spellEnd"/>
      <w:r w:rsidRPr="00434B75">
        <w:rPr>
          <w:rFonts w:ascii="Arial" w:eastAsia="Times New Roman" w:hAnsi="Arial" w:cs="Arial"/>
          <w:bCs/>
          <w:i/>
          <w:sz w:val="20"/>
          <w:szCs w:val="20"/>
          <w:lang w:eastAsia="ar-SA"/>
        </w:rPr>
        <w:t xml:space="preserve"> urbane mobilnosti</w:t>
      </w:r>
      <w:r>
        <w:rPr>
          <w:rFonts w:ascii="Arial" w:eastAsia="Times New Roman" w:hAnsi="Arial" w:cs="Arial"/>
          <w:bCs/>
          <w:sz w:val="20"/>
          <w:szCs w:val="20"/>
          <w:lang w:eastAsia="ar-SA"/>
        </w:rPr>
        <w:t xml:space="preserve"> se </w:t>
      </w:r>
      <w:r w:rsidRPr="000A2550">
        <w:rPr>
          <w:rFonts w:ascii="Arial" w:hAnsi="Arial" w:cs="Arial"/>
          <w:sz w:val="20"/>
          <w:szCs w:val="20"/>
        </w:rPr>
        <w:t xml:space="preserve">iz PN 2.1 </w:t>
      </w:r>
      <w:r>
        <w:rPr>
          <w:rFonts w:ascii="Arial" w:hAnsi="Arial" w:cs="Arial"/>
          <w:sz w:val="20"/>
          <w:szCs w:val="20"/>
        </w:rPr>
        <w:t xml:space="preserve">in iz PN 3.1 skupaj 11.007.995 evrov. </w:t>
      </w:r>
      <w:r w:rsidRPr="005F4555">
        <w:rPr>
          <w:rFonts w:ascii="Arial" w:hAnsi="Arial" w:cs="Arial"/>
          <w:sz w:val="20"/>
          <w:szCs w:val="20"/>
        </w:rPr>
        <w:t xml:space="preserve">V okviru tehnične prilagoditve se </w:t>
      </w:r>
      <w:r w:rsidR="000A2550">
        <w:rPr>
          <w:rFonts w:ascii="Arial" w:hAnsi="Arial" w:cs="Arial"/>
          <w:sz w:val="20"/>
          <w:szCs w:val="20"/>
        </w:rPr>
        <w:t>na</w:t>
      </w:r>
      <w:r w:rsidRPr="000A2550">
        <w:rPr>
          <w:rFonts w:ascii="Arial" w:hAnsi="Arial" w:cs="Arial"/>
          <w:sz w:val="20"/>
          <w:szCs w:val="20"/>
        </w:rPr>
        <w:t xml:space="preserve"> področje </w:t>
      </w:r>
      <w:r w:rsidR="000A2550">
        <w:rPr>
          <w:rFonts w:ascii="Arial" w:hAnsi="Arial" w:cs="Arial"/>
          <w:sz w:val="20"/>
          <w:szCs w:val="20"/>
        </w:rPr>
        <w:t xml:space="preserve">namenijo </w:t>
      </w:r>
      <w:r w:rsidRPr="000A2550">
        <w:rPr>
          <w:rFonts w:ascii="Arial" w:hAnsi="Arial" w:cs="Arial"/>
          <w:sz w:val="20"/>
          <w:szCs w:val="20"/>
        </w:rPr>
        <w:t>sredstva v višini 12.000.000 evrov.</w:t>
      </w:r>
      <w:r>
        <w:rPr>
          <w:rFonts w:ascii="Arial" w:hAnsi="Arial" w:cs="Arial"/>
          <w:sz w:val="20"/>
          <w:szCs w:val="20"/>
        </w:rPr>
        <w:t xml:space="preserve"> </w:t>
      </w:r>
      <w:r w:rsidR="005F4555">
        <w:rPr>
          <w:rFonts w:ascii="Arial" w:hAnsi="Arial" w:cs="Arial"/>
          <w:sz w:val="20"/>
          <w:szCs w:val="20"/>
        </w:rPr>
        <w:t>Skupaj torej za ukrepe</w:t>
      </w:r>
      <w:r w:rsidR="005F4555" w:rsidRPr="000A2550">
        <w:rPr>
          <w:rFonts w:ascii="Arial" w:hAnsi="Arial" w:cs="Arial"/>
          <w:sz w:val="20"/>
          <w:szCs w:val="20"/>
        </w:rPr>
        <w:t xml:space="preserve"> </w:t>
      </w:r>
      <w:r w:rsidR="005F4555">
        <w:rPr>
          <w:rFonts w:ascii="Arial" w:hAnsi="Arial" w:cs="Arial"/>
          <w:sz w:val="20"/>
          <w:szCs w:val="20"/>
        </w:rPr>
        <w:t xml:space="preserve">urbane mobilnosti: </w:t>
      </w:r>
      <w:r w:rsidR="005F4555" w:rsidRPr="000B6155">
        <w:rPr>
          <w:rFonts w:ascii="Arial" w:hAnsi="Arial" w:cs="Arial"/>
          <w:sz w:val="20"/>
          <w:szCs w:val="20"/>
        </w:rPr>
        <w:t>gradnje</w:t>
      </w:r>
      <w:r w:rsidR="005F4555">
        <w:rPr>
          <w:rFonts w:ascii="Arial" w:hAnsi="Arial" w:cs="Arial"/>
          <w:sz w:val="20"/>
          <w:szCs w:val="20"/>
        </w:rPr>
        <w:t xml:space="preserve"> </w:t>
      </w:r>
      <w:r w:rsidR="005F4555" w:rsidRPr="000B6155">
        <w:rPr>
          <w:rFonts w:ascii="Arial" w:hAnsi="Arial" w:cs="Arial"/>
          <w:sz w:val="20"/>
          <w:szCs w:val="20"/>
        </w:rPr>
        <w:t>/</w:t>
      </w:r>
      <w:r w:rsidR="005F4555">
        <w:rPr>
          <w:rFonts w:ascii="Arial" w:hAnsi="Arial" w:cs="Arial"/>
          <w:sz w:val="20"/>
          <w:szCs w:val="20"/>
        </w:rPr>
        <w:t xml:space="preserve"> </w:t>
      </w:r>
      <w:r w:rsidR="005F4555" w:rsidRPr="000B6155">
        <w:rPr>
          <w:rFonts w:ascii="Arial" w:hAnsi="Arial" w:cs="Arial"/>
          <w:sz w:val="20"/>
          <w:szCs w:val="20"/>
        </w:rPr>
        <w:t xml:space="preserve">ureditve sklenjenih regionalnih kolesarskih povezav za namen dnevne mobilnosti in e-mobilnosti javnega potniškega prometa </w:t>
      </w:r>
      <w:r w:rsidR="005F4555">
        <w:rPr>
          <w:rFonts w:ascii="Arial" w:hAnsi="Arial" w:cs="Arial"/>
          <w:sz w:val="20"/>
          <w:szCs w:val="20"/>
        </w:rPr>
        <w:t>23.007.995 evrov.</w:t>
      </w:r>
    </w:p>
    <w:p w14:paraId="153336F9" w14:textId="77777777" w:rsidR="00C87588" w:rsidRDefault="00C87588" w:rsidP="00C87588">
      <w:pPr>
        <w:spacing w:after="120"/>
        <w:jc w:val="both"/>
        <w:rPr>
          <w:rFonts w:ascii="Arial" w:hAnsi="Arial" w:cs="Arial"/>
          <w:sz w:val="20"/>
          <w:szCs w:val="20"/>
        </w:rPr>
      </w:pPr>
    </w:p>
    <w:p w14:paraId="68D0BD0E" w14:textId="77777777" w:rsidR="00C87588" w:rsidRPr="00434B75" w:rsidRDefault="00C87588" w:rsidP="00C87588">
      <w:pPr>
        <w:spacing w:after="120"/>
        <w:jc w:val="both"/>
        <w:rPr>
          <w:rFonts w:ascii="Arial" w:eastAsia="Times New Roman" w:hAnsi="Arial" w:cs="Arial"/>
          <w:b/>
          <w:bCs/>
          <w:i/>
          <w:sz w:val="20"/>
          <w:szCs w:val="20"/>
          <w:lang w:eastAsia="ar-SA"/>
        </w:rPr>
      </w:pPr>
      <w:r w:rsidRPr="00434B75">
        <w:rPr>
          <w:rFonts w:ascii="Arial" w:eastAsia="Times New Roman" w:hAnsi="Arial" w:cs="Arial"/>
          <w:b/>
          <w:bCs/>
          <w:i/>
          <w:sz w:val="20"/>
          <w:szCs w:val="20"/>
          <w:lang w:eastAsia="ar-SA"/>
        </w:rPr>
        <w:t>PN 5.1 Podpora naložbam za prilagajanje podnebnim spremembam</w:t>
      </w:r>
    </w:p>
    <w:p w14:paraId="2AF1B0AF" w14:textId="77777777" w:rsidR="00C87588" w:rsidRDefault="00C87588" w:rsidP="00C87588">
      <w:pPr>
        <w:spacing w:after="120"/>
        <w:jc w:val="both"/>
        <w:rPr>
          <w:rFonts w:ascii="Arial" w:hAnsi="Arial" w:cs="Arial"/>
          <w:sz w:val="20"/>
          <w:szCs w:val="20"/>
        </w:rPr>
      </w:pPr>
      <w:r>
        <w:rPr>
          <w:rFonts w:ascii="Arial" w:hAnsi="Arial" w:cs="Arial"/>
          <w:sz w:val="20"/>
          <w:szCs w:val="20"/>
        </w:rPr>
        <w:t>V okviru tehnične prilagoditve se nameni za področje protipoplavnih ukrepov 7.000.000 evrov. Namenjeni so za ukrepe identificirane v okviru teritorialnega dialoga in sicer za Zahodno  kohezijsko regijo.</w:t>
      </w:r>
    </w:p>
    <w:p w14:paraId="1513E0F3" w14:textId="77777777" w:rsidR="00C87588" w:rsidRDefault="00C87588" w:rsidP="00C87588">
      <w:pPr>
        <w:spacing w:after="120"/>
        <w:jc w:val="both"/>
        <w:rPr>
          <w:rFonts w:ascii="Arial" w:hAnsi="Arial" w:cs="Arial"/>
          <w:sz w:val="20"/>
          <w:szCs w:val="20"/>
        </w:rPr>
      </w:pPr>
    </w:p>
    <w:p w14:paraId="36A986AC" w14:textId="77777777" w:rsidR="00C87588" w:rsidRPr="00434B75" w:rsidRDefault="00C87588" w:rsidP="00C87588">
      <w:pPr>
        <w:spacing w:after="120"/>
        <w:jc w:val="both"/>
        <w:rPr>
          <w:rFonts w:ascii="Arial" w:eastAsia="Times New Roman" w:hAnsi="Arial" w:cs="Arial"/>
          <w:b/>
          <w:bCs/>
          <w:i/>
          <w:sz w:val="20"/>
          <w:szCs w:val="20"/>
          <w:lang w:eastAsia="ar-SA"/>
        </w:rPr>
      </w:pPr>
      <w:r w:rsidRPr="00434B75">
        <w:rPr>
          <w:rFonts w:ascii="Arial" w:eastAsia="Times New Roman" w:hAnsi="Arial" w:cs="Arial"/>
          <w:b/>
          <w:bCs/>
          <w:i/>
          <w:sz w:val="20"/>
          <w:szCs w:val="20"/>
          <w:lang w:eastAsia="ar-SA"/>
        </w:rPr>
        <w:t>PN 6.1 Vlaganje v vodni sektor</w:t>
      </w:r>
      <w:r w:rsidRPr="00434B75">
        <w:rPr>
          <w:rStyle w:val="Sprotnaopomba-sklic"/>
          <w:rFonts w:ascii="Arial" w:eastAsia="Times New Roman" w:hAnsi="Arial" w:cs="Arial"/>
          <w:b/>
          <w:bCs/>
          <w:i/>
          <w:sz w:val="20"/>
          <w:szCs w:val="20"/>
          <w:lang w:eastAsia="ar-SA"/>
        </w:rPr>
        <w:footnoteReference w:id="3"/>
      </w:r>
    </w:p>
    <w:p w14:paraId="20A03766" w14:textId="77777777" w:rsidR="00C87588" w:rsidRDefault="00C87588" w:rsidP="00C87588">
      <w:pPr>
        <w:spacing w:after="120"/>
        <w:jc w:val="both"/>
        <w:rPr>
          <w:rFonts w:ascii="Arial" w:hAnsi="Arial" w:cs="Arial"/>
          <w:sz w:val="20"/>
          <w:szCs w:val="20"/>
          <w:lang w:eastAsia="ar-SA"/>
        </w:rPr>
      </w:pPr>
      <w:r>
        <w:rPr>
          <w:rFonts w:ascii="Arial" w:hAnsi="Arial" w:cs="Arial"/>
          <w:sz w:val="20"/>
          <w:szCs w:val="20"/>
        </w:rPr>
        <w:t xml:space="preserve">V okviru tehnične prilagoditve se nameni za to področje 25.968.996 evrov. Zaradi izjemno velikih potreb na tem področju se dodatno nameni še </w:t>
      </w:r>
      <w:r w:rsidRPr="00AB01F1">
        <w:rPr>
          <w:rFonts w:ascii="Arial" w:hAnsi="Arial" w:cs="Arial"/>
          <w:sz w:val="20"/>
          <w:szCs w:val="20"/>
          <w:lang w:eastAsia="ar-SA"/>
        </w:rPr>
        <w:t xml:space="preserve">10.000.000 </w:t>
      </w:r>
      <w:r>
        <w:rPr>
          <w:rFonts w:ascii="Arial" w:hAnsi="Arial" w:cs="Arial"/>
          <w:sz w:val="20"/>
          <w:szCs w:val="20"/>
          <w:lang w:eastAsia="ar-SA"/>
        </w:rPr>
        <w:t xml:space="preserve">iz </w:t>
      </w:r>
      <w:r w:rsidRPr="00AB01F1">
        <w:rPr>
          <w:rFonts w:ascii="Arial" w:hAnsi="Arial" w:cs="Arial"/>
          <w:sz w:val="20"/>
          <w:szCs w:val="20"/>
          <w:lang w:eastAsia="ar-SA"/>
        </w:rPr>
        <w:t xml:space="preserve">PN </w:t>
      </w:r>
      <w:r>
        <w:rPr>
          <w:rFonts w:ascii="Arial" w:hAnsi="Arial" w:cs="Arial"/>
          <w:sz w:val="20"/>
          <w:szCs w:val="20"/>
          <w:lang w:eastAsia="ar-SA"/>
        </w:rPr>
        <w:t xml:space="preserve">3.1. Skupaj torej </w:t>
      </w:r>
      <w:r>
        <w:rPr>
          <w:rFonts w:ascii="Arial" w:hAnsi="Arial" w:cs="Arial"/>
          <w:sz w:val="20"/>
          <w:szCs w:val="20"/>
        </w:rPr>
        <w:t xml:space="preserve">35.968.996 evrov. </w:t>
      </w:r>
      <w:r>
        <w:rPr>
          <w:rFonts w:ascii="Arial" w:hAnsi="Arial" w:cs="Arial"/>
          <w:sz w:val="20"/>
          <w:szCs w:val="20"/>
          <w:lang w:eastAsia="ar-SA"/>
        </w:rPr>
        <w:t>Sredstva so namenjena za projekte odpadnih voda (zahteva EK), prepoznane v okviru DRR.</w:t>
      </w:r>
    </w:p>
    <w:p w14:paraId="3D79FF66" w14:textId="77777777" w:rsidR="00C87588" w:rsidRDefault="00C87588" w:rsidP="00C87588">
      <w:pPr>
        <w:spacing w:after="120"/>
        <w:jc w:val="both"/>
        <w:rPr>
          <w:rFonts w:ascii="Arial" w:eastAsia="Times New Roman" w:hAnsi="Arial" w:cs="Arial"/>
          <w:b/>
          <w:bCs/>
          <w:sz w:val="20"/>
          <w:szCs w:val="20"/>
          <w:lang w:eastAsia="ar-SA"/>
        </w:rPr>
      </w:pPr>
    </w:p>
    <w:p w14:paraId="0C47C081" w14:textId="77777777" w:rsidR="00C87588" w:rsidRPr="00434B75" w:rsidRDefault="00C87588" w:rsidP="00C87588">
      <w:pPr>
        <w:spacing w:after="120"/>
        <w:jc w:val="both"/>
        <w:rPr>
          <w:rFonts w:ascii="Arial" w:eastAsia="Times New Roman" w:hAnsi="Arial" w:cs="Arial"/>
          <w:b/>
          <w:bCs/>
          <w:i/>
          <w:sz w:val="20"/>
          <w:szCs w:val="20"/>
          <w:lang w:eastAsia="ar-SA"/>
        </w:rPr>
      </w:pPr>
      <w:r w:rsidRPr="00434B75">
        <w:rPr>
          <w:rFonts w:ascii="Arial" w:eastAsia="Times New Roman" w:hAnsi="Arial" w:cs="Arial"/>
          <w:b/>
          <w:bCs/>
          <w:i/>
          <w:sz w:val="20"/>
          <w:szCs w:val="20"/>
          <w:lang w:eastAsia="ar-SA"/>
        </w:rPr>
        <w:t>PN 6.3 - Ukrepi za izboljšanje urbanega okolja</w:t>
      </w:r>
    </w:p>
    <w:p w14:paraId="37B0BD2D" w14:textId="77777777" w:rsidR="00C87588" w:rsidRDefault="00C87588" w:rsidP="00C87588">
      <w:pPr>
        <w:spacing w:after="120"/>
        <w:jc w:val="both"/>
        <w:rPr>
          <w:rFonts w:ascii="Arial" w:hAnsi="Arial" w:cs="Arial"/>
          <w:sz w:val="20"/>
          <w:szCs w:val="20"/>
        </w:rPr>
      </w:pPr>
      <w:r w:rsidRPr="000A2550">
        <w:rPr>
          <w:rFonts w:ascii="Arial" w:hAnsi="Arial" w:cs="Arial"/>
          <w:sz w:val="20"/>
          <w:szCs w:val="20"/>
        </w:rPr>
        <w:t>Del povratnih sredstev v višini 5.000.000 evrov se nameni za izvajanje v okviru FI.</w:t>
      </w:r>
    </w:p>
    <w:p w14:paraId="1256368D" w14:textId="77777777" w:rsidR="00C87588" w:rsidRDefault="00C87588" w:rsidP="00C87588">
      <w:pPr>
        <w:spacing w:after="120"/>
        <w:jc w:val="both"/>
        <w:rPr>
          <w:rFonts w:ascii="Arial" w:eastAsia="Times New Roman" w:hAnsi="Arial" w:cs="Arial"/>
          <w:b/>
          <w:bCs/>
          <w:sz w:val="20"/>
          <w:szCs w:val="20"/>
          <w:lang w:eastAsia="ar-SA"/>
        </w:rPr>
      </w:pPr>
    </w:p>
    <w:p w14:paraId="1077727A" w14:textId="77777777" w:rsidR="00C87588" w:rsidRPr="009D2229" w:rsidRDefault="00C87588" w:rsidP="00C87588">
      <w:pPr>
        <w:spacing w:after="120"/>
        <w:jc w:val="both"/>
        <w:rPr>
          <w:rFonts w:ascii="Arial" w:eastAsia="Times New Roman" w:hAnsi="Arial" w:cs="Arial"/>
          <w:b/>
          <w:bCs/>
          <w:sz w:val="20"/>
          <w:szCs w:val="20"/>
          <w:lang w:eastAsia="ar-SA"/>
        </w:rPr>
      </w:pPr>
      <w:r w:rsidRPr="009D2229">
        <w:rPr>
          <w:rFonts w:ascii="Arial" w:eastAsia="Times New Roman" w:hAnsi="Arial" w:cs="Arial"/>
          <w:b/>
          <w:bCs/>
          <w:sz w:val="20"/>
          <w:szCs w:val="20"/>
          <w:lang w:eastAsia="ar-SA"/>
        </w:rPr>
        <w:t>PN 7.1 Razvoj in obnova celostnih železniških sistemov</w:t>
      </w:r>
    </w:p>
    <w:p w14:paraId="516F6F16" w14:textId="77777777" w:rsidR="00C87588" w:rsidRPr="00A35FC0" w:rsidRDefault="00C87588" w:rsidP="00C87588">
      <w:pPr>
        <w:jc w:val="both"/>
        <w:rPr>
          <w:rFonts w:ascii="Arial" w:hAnsi="Arial" w:cs="Arial"/>
          <w:sz w:val="20"/>
          <w:szCs w:val="20"/>
        </w:rPr>
      </w:pPr>
      <w:r w:rsidRPr="00A35FC0">
        <w:rPr>
          <w:rFonts w:ascii="Arial" w:hAnsi="Arial" w:cs="Arial"/>
          <w:sz w:val="20"/>
          <w:szCs w:val="20"/>
        </w:rPr>
        <w:lastRenderedPageBreak/>
        <w:t xml:space="preserve">S prerazporeditvijo </w:t>
      </w:r>
      <w:r w:rsidRPr="0036451F">
        <w:rPr>
          <w:rFonts w:ascii="Arial" w:eastAsiaTheme="minorHAnsi" w:hAnsi="Arial" w:cs="Arial"/>
          <w:sz w:val="20"/>
          <w:szCs w:val="20"/>
        </w:rPr>
        <w:t xml:space="preserve">2.777.322 </w:t>
      </w:r>
      <w:r w:rsidRPr="00A35FC0">
        <w:rPr>
          <w:rFonts w:ascii="Arial" w:hAnsi="Arial" w:cs="Arial"/>
          <w:sz w:val="20"/>
          <w:szCs w:val="20"/>
        </w:rPr>
        <w:t>evrov iz PN 2.1</w:t>
      </w:r>
      <w:r>
        <w:rPr>
          <w:rFonts w:ascii="Arial" w:hAnsi="Arial" w:cs="Arial"/>
          <w:sz w:val="20"/>
          <w:szCs w:val="20"/>
        </w:rPr>
        <w:t>,</w:t>
      </w:r>
      <w:r w:rsidRPr="00A35FC0">
        <w:rPr>
          <w:rFonts w:ascii="Arial" w:hAnsi="Arial" w:cs="Arial"/>
          <w:sz w:val="20"/>
          <w:szCs w:val="20"/>
        </w:rPr>
        <w:t xml:space="preserve"> prerazporeditvijo </w:t>
      </w:r>
      <w:r>
        <w:rPr>
          <w:rFonts w:ascii="Arial" w:hAnsi="Arial" w:cs="Arial"/>
          <w:sz w:val="20"/>
          <w:szCs w:val="20"/>
          <w:lang w:eastAsia="ar-SA"/>
        </w:rPr>
        <w:t>37.222.678</w:t>
      </w:r>
      <w:r w:rsidRPr="00203463">
        <w:rPr>
          <w:rFonts w:ascii="Arial" w:hAnsi="Arial" w:cs="Arial"/>
          <w:sz w:val="20"/>
          <w:szCs w:val="20"/>
          <w:lang w:eastAsia="ar-SA"/>
        </w:rPr>
        <w:t xml:space="preserve"> </w:t>
      </w:r>
      <w:r w:rsidRPr="00A35FC0">
        <w:rPr>
          <w:rFonts w:ascii="Arial" w:hAnsi="Arial" w:cs="Arial"/>
          <w:sz w:val="20"/>
          <w:szCs w:val="20"/>
        </w:rPr>
        <w:t xml:space="preserve">evrov iz PN 3.1 </w:t>
      </w:r>
      <w:r>
        <w:rPr>
          <w:rFonts w:ascii="Arial" w:hAnsi="Arial" w:cs="Arial"/>
          <w:sz w:val="20"/>
          <w:szCs w:val="20"/>
        </w:rPr>
        <w:t xml:space="preserve">in prerazporeditvijo 4.900.000 evrov iz PN 7.3 </w:t>
      </w:r>
      <w:r w:rsidRPr="00A35FC0">
        <w:rPr>
          <w:rFonts w:ascii="Arial" w:hAnsi="Arial" w:cs="Arial"/>
          <w:sz w:val="20"/>
          <w:szCs w:val="20"/>
        </w:rPr>
        <w:t>se na PN 7.1 zagotavlja dodanih 4</w:t>
      </w:r>
      <w:r>
        <w:rPr>
          <w:rFonts w:ascii="Arial" w:hAnsi="Arial" w:cs="Arial"/>
          <w:sz w:val="20"/>
          <w:szCs w:val="20"/>
        </w:rPr>
        <w:t>4,9</w:t>
      </w:r>
      <w:r w:rsidRPr="00A35FC0">
        <w:rPr>
          <w:rFonts w:ascii="Arial" w:hAnsi="Arial" w:cs="Arial"/>
          <w:sz w:val="20"/>
          <w:szCs w:val="20"/>
        </w:rPr>
        <w:t xml:space="preserve"> mi</w:t>
      </w:r>
      <w:r>
        <w:rPr>
          <w:rFonts w:ascii="Arial" w:hAnsi="Arial" w:cs="Arial"/>
          <w:sz w:val="20"/>
          <w:szCs w:val="20"/>
        </w:rPr>
        <w:t>lijonov</w:t>
      </w:r>
      <w:r w:rsidRPr="00A35FC0">
        <w:rPr>
          <w:rFonts w:ascii="Arial" w:hAnsi="Arial" w:cs="Arial"/>
          <w:sz w:val="20"/>
          <w:szCs w:val="20"/>
        </w:rPr>
        <w:t xml:space="preserve"> EUR. </w:t>
      </w:r>
    </w:p>
    <w:p w14:paraId="3B0584BF" w14:textId="77777777" w:rsidR="00C87588" w:rsidRPr="00A35FC0" w:rsidRDefault="00C87588" w:rsidP="00C87588">
      <w:pPr>
        <w:jc w:val="both"/>
        <w:rPr>
          <w:rFonts w:ascii="Arial" w:hAnsi="Arial" w:cs="Arial"/>
          <w:sz w:val="20"/>
          <w:szCs w:val="20"/>
        </w:rPr>
      </w:pPr>
      <w:r>
        <w:rPr>
          <w:rFonts w:ascii="Arial" w:hAnsi="Arial" w:cs="Arial"/>
          <w:sz w:val="20"/>
          <w:szCs w:val="20"/>
        </w:rPr>
        <w:t xml:space="preserve">Razporejena ESRR sredstva iz PN 2.1 in PN 3.1 </w:t>
      </w:r>
      <w:r w:rsidRPr="00A35FC0">
        <w:rPr>
          <w:rFonts w:ascii="Arial" w:hAnsi="Arial" w:cs="Arial"/>
          <w:sz w:val="20"/>
          <w:szCs w:val="20"/>
        </w:rPr>
        <w:t>bodo namenjena za sofinanciranje projekta Vozlišče Pragersko.</w:t>
      </w:r>
      <w:r>
        <w:rPr>
          <w:rFonts w:ascii="Arial" w:hAnsi="Arial" w:cs="Arial"/>
          <w:sz w:val="20"/>
          <w:szCs w:val="20"/>
        </w:rPr>
        <w:t xml:space="preserve"> </w:t>
      </w:r>
    </w:p>
    <w:p w14:paraId="5DC2607D" w14:textId="77777777" w:rsidR="00C87588" w:rsidRDefault="00C87588" w:rsidP="00C87588">
      <w:pPr>
        <w:jc w:val="both"/>
        <w:rPr>
          <w:rFonts w:ascii="Arial" w:hAnsi="Arial" w:cs="Arial"/>
          <w:sz w:val="20"/>
          <w:szCs w:val="20"/>
        </w:rPr>
      </w:pPr>
      <w:r>
        <w:rPr>
          <w:rFonts w:ascii="Arial" w:hAnsi="Arial" w:cs="Arial"/>
          <w:sz w:val="20"/>
          <w:szCs w:val="20"/>
        </w:rPr>
        <w:t xml:space="preserve">S tem se na prednostni naložbi sprostijo pravice porabe Kohezijskega sklada v višini 40 milijonov evrov. </w:t>
      </w:r>
      <w:r w:rsidRPr="00A35FC0">
        <w:rPr>
          <w:rFonts w:ascii="Arial" w:hAnsi="Arial" w:cs="Arial"/>
          <w:sz w:val="20"/>
          <w:szCs w:val="20"/>
        </w:rPr>
        <w:t>Preostale pravice porabe na železniški infr</w:t>
      </w:r>
      <w:r>
        <w:rPr>
          <w:rFonts w:ascii="Arial" w:hAnsi="Arial" w:cs="Arial"/>
          <w:sz w:val="20"/>
          <w:szCs w:val="20"/>
        </w:rPr>
        <w:t xml:space="preserve">astrukturi v višini 153 milijonov evrov </w:t>
      </w:r>
      <w:r w:rsidRPr="00A35FC0">
        <w:rPr>
          <w:rFonts w:ascii="Arial" w:hAnsi="Arial" w:cs="Arial"/>
          <w:sz w:val="20"/>
          <w:szCs w:val="20"/>
        </w:rPr>
        <w:t xml:space="preserve">se </w:t>
      </w:r>
      <w:r>
        <w:rPr>
          <w:rFonts w:ascii="Arial" w:hAnsi="Arial" w:cs="Arial"/>
          <w:sz w:val="20"/>
          <w:szCs w:val="20"/>
        </w:rPr>
        <w:t xml:space="preserve">namenijo </w:t>
      </w:r>
      <w:r w:rsidRPr="00A35FC0">
        <w:rPr>
          <w:rFonts w:ascii="Arial" w:hAnsi="Arial" w:cs="Arial"/>
          <w:sz w:val="20"/>
          <w:szCs w:val="20"/>
        </w:rPr>
        <w:t xml:space="preserve">za izvedbo </w:t>
      </w:r>
      <w:r>
        <w:rPr>
          <w:rFonts w:ascii="Arial" w:hAnsi="Arial" w:cs="Arial"/>
          <w:sz w:val="20"/>
          <w:szCs w:val="20"/>
        </w:rPr>
        <w:t>2 pomembnih projektov:</w:t>
      </w:r>
    </w:p>
    <w:p w14:paraId="04FC71BB" w14:textId="77777777" w:rsidR="00C87588" w:rsidRPr="00B13DCC" w:rsidRDefault="00C87588" w:rsidP="00C87588">
      <w:pPr>
        <w:pStyle w:val="Odstavekseznama"/>
        <w:numPr>
          <w:ilvl w:val="0"/>
          <w:numId w:val="6"/>
        </w:numPr>
        <w:jc w:val="both"/>
        <w:rPr>
          <w:rFonts w:ascii="Arial" w:hAnsi="Arial" w:cs="Arial"/>
          <w:sz w:val="20"/>
          <w:szCs w:val="20"/>
        </w:rPr>
      </w:pPr>
      <w:r w:rsidRPr="00B13DCC">
        <w:rPr>
          <w:rFonts w:ascii="Arial" w:hAnsi="Arial" w:cs="Arial"/>
          <w:sz w:val="20"/>
          <w:szCs w:val="20"/>
        </w:rPr>
        <w:t>2. tira Divača Koper</w:t>
      </w:r>
      <w:r>
        <w:rPr>
          <w:rFonts w:ascii="Arial" w:hAnsi="Arial" w:cs="Arial"/>
          <w:sz w:val="20"/>
          <w:szCs w:val="20"/>
        </w:rPr>
        <w:t xml:space="preserve"> </w:t>
      </w:r>
      <w:r w:rsidRPr="00B13DCC">
        <w:rPr>
          <w:rFonts w:ascii="Arial" w:hAnsi="Arial" w:cs="Arial"/>
          <w:sz w:val="20"/>
          <w:szCs w:val="20"/>
        </w:rPr>
        <w:t xml:space="preserve">in </w:t>
      </w:r>
    </w:p>
    <w:p w14:paraId="63A3D000" w14:textId="77777777" w:rsidR="00C87588" w:rsidRPr="00B13DCC" w:rsidRDefault="00C87588" w:rsidP="00C87588">
      <w:pPr>
        <w:pStyle w:val="Odstavekseznama"/>
        <w:numPr>
          <w:ilvl w:val="0"/>
          <w:numId w:val="6"/>
        </w:numPr>
        <w:jc w:val="both"/>
        <w:rPr>
          <w:rFonts w:ascii="Arial" w:hAnsi="Arial" w:cs="Arial"/>
          <w:sz w:val="20"/>
          <w:szCs w:val="20"/>
        </w:rPr>
      </w:pPr>
      <w:r w:rsidRPr="00B13DCC">
        <w:rPr>
          <w:rFonts w:ascii="Arial" w:hAnsi="Arial" w:cs="Arial"/>
          <w:sz w:val="20"/>
          <w:szCs w:val="20"/>
        </w:rPr>
        <w:t>Nadgradnje železniške povezave Maribor Šentilj</w:t>
      </w:r>
      <w:r>
        <w:rPr>
          <w:rFonts w:ascii="Arial" w:hAnsi="Arial" w:cs="Arial"/>
          <w:sz w:val="20"/>
          <w:szCs w:val="20"/>
        </w:rPr>
        <w:t>.</w:t>
      </w:r>
      <w:r w:rsidRPr="00B13DCC">
        <w:rPr>
          <w:rFonts w:ascii="Arial" w:hAnsi="Arial" w:cs="Arial"/>
          <w:sz w:val="20"/>
          <w:szCs w:val="20"/>
        </w:rPr>
        <w:t xml:space="preserve"> </w:t>
      </w:r>
    </w:p>
    <w:p w14:paraId="1E6F6B44" w14:textId="77777777" w:rsidR="00C87588" w:rsidRDefault="00C87588" w:rsidP="00C87588">
      <w:pPr>
        <w:spacing w:after="0"/>
        <w:jc w:val="both"/>
        <w:rPr>
          <w:rFonts w:ascii="Arial" w:hAnsi="Arial" w:cs="Arial"/>
          <w:sz w:val="20"/>
          <w:szCs w:val="20"/>
        </w:rPr>
      </w:pPr>
    </w:p>
    <w:p w14:paraId="3372CC52" w14:textId="77777777" w:rsidR="00C87588" w:rsidRPr="00434B75" w:rsidRDefault="00C87588" w:rsidP="00C87588">
      <w:pPr>
        <w:spacing w:after="120"/>
        <w:jc w:val="both"/>
        <w:rPr>
          <w:rFonts w:ascii="Arial" w:eastAsia="Times New Roman" w:hAnsi="Arial" w:cs="Arial"/>
          <w:b/>
          <w:bCs/>
          <w:i/>
          <w:sz w:val="20"/>
          <w:szCs w:val="20"/>
          <w:lang w:eastAsia="ar-SA"/>
        </w:rPr>
      </w:pPr>
      <w:r w:rsidRPr="00434B75">
        <w:rPr>
          <w:rFonts w:ascii="Arial" w:eastAsia="Times New Roman" w:hAnsi="Arial" w:cs="Arial"/>
          <w:b/>
          <w:bCs/>
          <w:i/>
          <w:sz w:val="20"/>
          <w:szCs w:val="20"/>
          <w:lang w:eastAsia="ar-SA"/>
        </w:rPr>
        <w:t>PN 7.2 Izboljšanje regionalne mobilnosti</w:t>
      </w:r>
    </w:p>
    <w:p w14:paraId="56153D9B" w14:textId="40FDCB17" w:rsidR="00C87588" w:rsidRDefault="00C87588" w:rsidP="00C87588">
      <w:pPr>
        <w:spacing w:after="120"/>
        <w:jc w:val="both"/>
        <w:rPr>
          <w:rFonts w:ascii="Arial" w:hAnsi="Arial" w:cs="Arial"/>
          <w:sz w:val="20"/>
          <w:szCs w:val="20"/>
        </w:rPr>
      </w:pPr>
      <w:r w:rsidRPr="00DE2A52">
        <w:rPr>
          <w:rFonts w:ascii="Arial" w:hAnsi="Arial" w:cs="Arial"/>
          <w:sz w:val="20"/>
          <w:szCs w:val="20"/>
        </w:rPr>
        <w:t xml:space="preserve">Z namenom krepitve regionalnih razvojnih potencialov in ohranjanja delovnih mest se </w:t>
      </w:r>
      <w:r>
        <w:rPr>
          <w:rFonts w:ascii="Arial" w:hAnsi="Arial" w:cs="Arial"/>
          <w:sz w:val="20"/>
          <w:szCs w:val="20"/>
        </w:rPr>
        <w:t xml:space="preserve">z prerazporeditvijo </w:t>
      </w:r>
      <w:r w:rsidRPr="0036451F">
        <w:rPr>
          <w:rFonts w:ascii="Arial" w:hAnsi="Arial" w:cs="Arial"/>
          <w:sz w:val="20"/>
          <w:szCs w:val="20"/>
        </w:rPr>
        <w:t xml:space="preserve">28.767.272 </w:t>
      </w:r>
      <w:r>
        <w:rPr>
          <w:rFonts w:ascii="Arial" w:hAnsi="Arial" w:cs="Arial"/>
          <w:sz w:val="20"/>
          <w:szCs w:val="20"/>
        </w:rPr>
        <w:t xml:space="preserve">evrov na PN 7.2 </w:t>
      </w:r>
      <w:r w:rsidRPr="00DE2A52">
        <w:rPr>
          <w:rFonts w:ascii="Arial" w:hAnsi="Arial" w:cs="Arial"/>
          <w:sz w:val="20"/>
          <w:szCs w:val="20"/>
        </w:rPr>
        <w:t xml:space="preserve">želi </w:t>
      </w:r>
      <w:r w:rsidRPr="000A2550">
        <w:rPr>
          <w:rFonts w:ascii="Arial" w:hAnsi="Arial" w:cs="Arial"/>
          <w:sz w:val="20"/>
          <w:szCs w:val="20"/>
        </w:rPr>
        <w:t>izboljšati dostopnost</w:t>
      </w:r>
      <w:r w:rsidRPr="00DE2A52">
        <w:rPr>
          <w:rFonts w:ascii="Arial" w:hAnsi="Arial" w:cs="Arial"/>
          <w:sz w:val="20"/>
          <w:szCs w:val="20"/>
        </w:rPr>
        <w:t xml:space="preserve"> </w:t>
      </w:r>
      <w:r w:rsidR="000A2550">
        <w:rPr>
          <w:rFonts w:ascii="Arial" w:hAnsi="Arial" w:cs="Arial"/>
          <w:sz w:val="20"/>
          <w:szCs w:val="20"/>
        </w:rPr>
        <w:t xml:space="preserve">do jedrnega omrežja </w:t>
      </w:r>
      <w:r w:rsidRPr="00DE2A52">
        <w:rPr>
          <w:rFonts w:ascii="Arial" w:hAnsi="Arial" w:cs="Arial"/>
          <w:sz w:val="20"/>
          <w:szCs w:val="20"/>
        </w:rPr>
        <w:t>ljudi in razvoj gospodarstva v vseh regijah v Republiki Sloveniji. Investicije v te projekte imajo velik pomen za razvoj posameznih regij, tako z demografskega, kot tudi gospodarskega in okoljskega vidika. Prednostno se predvideva izgradnja manjkajoče cestne infrastrukture, ki ima širši regionalni vpliv in pospešitev priprave projekta izgradnje 3. razvojni osi</w:t>
      </w:r>
      <w:r>
        <w:rPr>
          <w:rFonts w:ascii="Arial" w:hAnsi="Arial" w:cs="Arial"/>
          <w:sz w:val="20"/>
          <w:szCs w:val="20"/>
        </w:rPr>
        <w:t>. Predvideno je vsaj: izgradnja obvoznice Murske Sobote, obvoznice Krško in projektiranje 3. razvojne osi.</w:t>
      </w:r>
    </w:p>
    <w:p w14:paraId="07E938A8" w14:textId="77777777" w:rsidR="00C87588" w:rsidRDefault="00C87588" w:rsidP="00C87588">
      <w:pPr>
        <w:spacing w:after="120"/>
        <w:jc w:val="both"/>
        <w:rPr>
          <w:rFonts w:ascii="Arial" w:eastAsia="Times New Roman" w:hAnsi="Arial" w:cs="Arial"/>
          <w:b/>
          <w:bCs/>
          <w:sz w:val="20"/>
          <w:szCs w:val="20"/>
          <w:lang w:eastAsia="ar-SA"/>
        </w:rPr>
      </w:pPr>
    </w:p>
    <w:p w14:paraId="192F343D" w14:textId="77777777" w:rsidR="00C87588" w:rsidRPr="00434B75" w:rsidRDefault="00C87588" w:rsidP="00C87588">
      <w:pPr>
        <w:spacing w:after="120"/>
        <w:jc w:val="both"/>
        <w:rPr>
          <w:rFonts w:ascii="Arial" w:eastAsia="Times New Roman" w:hAnsi="Arial" w:cs="Arial"/>
          <w:b/>
          <w:bCs/>
          <w:i/>
          <w:sz w:val="20"/>
          <w:szCs w:val="20"/>
          <w:lang w:eastAsia="ar-SA"/>
        </w:rPr>
      </w:pPr>
      <w:r w:rsidRPr="00434B75">
        <w:rPr>
          <w:rFonts w:ascii="Arial" w:eastAsia="Times New Roman" w:hAnsi="Arial" w:cs="Arial"/>
          <w:b/>
          <w:bCs/>
          <w:i/>
          <w:sz w:val="20"/>
          <w:szCs w:val="20"/>
          <w:lang w:eastAsia="ar-SA"/>
        </w:rPr>
        <w:t>PN 7.3 Odpravljanje ozkih grl na omrežju TEN-T</w:t>
      </w:r>
    </w:p>
    <w:p w14:paraId="42F3CC45" w14:textId="77777777" w:rsidR="00C87588" w:rsidRDefault="00C87588" w:rsidP="00C87588">
      <w:pPr>
        <w:spacing w:after="120"/>
        <w:jc w:val="both"/>
        <w:rPr>
          <w:rFonts w:ascii="Arial" w:hAnsi="Arial" w:cs="Arial"/>
          <w:sz w:val="20"/>
          <w:szCs w:val="20"/>
        </w:rPr>
      </w:pPr>
      <w:r>
        <w:rPr>
          <w:rFonts w:ascii="Arial" w:hAnsi="Arial" w:cs="Arial"/>
          <w:sz w:val="20"/>
          <w:szCs w:val="20"/>
        </w:rPr>
        <w:t>Znižanje sredstev za 4.900.000 evrov in prerazporeditev na PN 7.1 – področje železniških sistemov za izvedbo pomembnih železniških projektov.</w:t>
      </w:r>
    </w:p>
    <w:p w14:paraId="1DF0512E" w14:textId="77777777" w:rsidR="00C87588" w:rsidRDefault="00C87588" w:rsidP="00C87588">
      <w:pPr>
        <w:spacing w:after="120"/>
        <w:jc w:val="both"/>
        <w:rPr>
          <w:rFonts w:ascii="Arial" w:hAnsi="Arial" w:cs="Arial"/>
          <w:sz w:val="20"/>
          <w:szCs w:val="20"/>
        </w:rPr>
      </w:pPr>
      <w:r w:rsidRPr="001E4BC6">
        <w:rPr>
          <w:rFonts w:ascii="Arial" w:hAnsi="Arial" w:cs="Arial"/>
          <w:sz w:val="20"/>
          <w:szCs w:val="20"/>
        </w:rPr>
        <w:t xml:space="preserve">Skladno s </w:t>
      </w:r>
      <w:r>
        <w:rPr>
          <w:rFonts w:ascii="Arial" w:hAnsi="Arial" w:cs="Arial"/>
          <w:sz w:val="20"/>
          <w:szCs w:val="20"/>
        </w:rPr>
        <w:t>stališčem</w:t>
      </w:r>
      <w:r w:rsidRPr="001E4BC6">
        <w:rPr>
          <w:rFonts w:ascii="Arial" w:hAnsi="Arial" w:cs="Arial"/>
          <w:sz w:val="20"/>
          <w:szCs w:val="20"/>
        </w:rPr>
        <w:t xml:space="preserve"> Luke Koper</w:t>
      </w:r>
      <w:r>
        <w:rPr>
          <w:rFonts w:ascii="Arial" w:hAnsi="Arial" w:cs="Arial"/>
          <w:sz w:val="20"/>
          <w:szCs w:val="20"/>
        </w:rPr>
        <w:t xml:space="preserve"> d.d. je projekt poglobitve plovnega kanala v Luko Koper</w:t>
      </w:r>
      <w:r w:rsidRPr="001E4BC6">
        <w:rPr>
          <w:rFonts w:ascii="Arial" w:hAnsi="Arial" w:cs="Arial"/>
          <w:sz w:val="20"/>
          <w:szCs w:val="20"/>
        </w:rPr>
        <w:t xml:space="preserve"> v obdobju finančne per</w:t>
      </w:r>
      <w:r>
        <w:rPr>
          <w:rFonts w:ascii="Arial" w:hAnsi="Arial" w:cs="Arial"/>
          <w:sz w:val="20"/>
          <w:szCs w:val="20"/>
        </w:rPr>
        <w:t xml:space="preserve">spektive 2014–2020 </w:t>
      </w:r>
      <w:proofErr w:type="spellStart"/>
      <w:r>
        <w:rPr>
          <w:rFonts w:ascii="Arial" w:hAnsi="Arial" w:cs="Arial"/>
          <w:sz w:val="20"/>
          <w:szCs w:val="20"/>
        </w:rPr>
        <w:t>neprioriteten</w:t>
      </w:r>
      <w:proofErr w:type="spellEnd"/>
      <w:r w:rsidRPr="001E4BC6">
        <w:rPr>
          <w:rFonts w:ascii="Arial" w:hAnsi="Arial" w:cs="Arial"/>
          <w:sz w:val="20"/>
          <w:szCs w:val="20"/>
        </w:rPr>
        <w:t xml:space="preserve">, zaradi česar poglabljanje znotraj koncesijskega območja v bazenu II do konca </w:t>
      </w:r>
      <w:r>
        <w:rPr>
          <w:rFonts w:ascii="Arial" w:hAnsi="Arial" w:cs="Arial"/>
          <w:sz w:val="20"/>
          <w:szCs w:val="20"/>
        </w:rPr>
        <w:t>finančnega obdobja</w:t>
      </w:r>
      <w:r w:rsidRPr="001E4BC6">
        <w:rPr>
          <w:rFonts w:ascii="Arial" w:hAnsi="Arial" w:cs="Arial"/>
          <w:sz w:val="20"/>
          <w:szCs w:val="20"/>
        </w:rPr>
        <w:t xml:space="preserve"> </w:t>
      </w:r>
      <w:r>
        <w:rPr>
          <w:rFonts w:ascii="Arial" w:hAnsi="Arial" w:cs="Arial"/>
          <w:sz w:val="20"/>
          <w:szCs w:val="20"/>
        </w:rPr>
        <w:t>20</w:t>
      </w:r>
      <w:r w:rsidRPr="001E4BC6">
        <w:rPr>
          <w:rFonts w:ascii="Arial" w:hAnsi="Arial" w:cs="Arial"/>
          <w:sz w:val="20"/>
          <w:szCs w:val="20"/>
        </w:rPr>
        <w:t>14</w:t>
      </w:r>
      <w:r>
        <w:rPr>
          <w:rFonts w:ascii="Arial" w:hAnsi="Arial" w:cs="Arial"/>
          <w:sz w:val="20"/>
          <w:szCs w:val="20"/>
        </w:rPr>
        <w:t>–20</w:t>
      </w:r>
      <w:r w:rsidRPr="001E4BC6">
        <w:rPr>
          <w:rFonts w:ascii="Arial" w:hAnsi="Arial" w:cs="Arial"/>
          <w:sz w:val="20"/>
          <w:szCs w:val="20"/>
        </w:rPr>
        <w:t>20 ne bo izvedeno.</w:t>
      </w:r>
      <w:r>
        <w:rPr>
          <w:rFonts w:ascii="Arial" w:hAnsi="Arial" w:cs="Arial"/>
          <w:sz w:val="20"/>
          <w:szCs w:val="20"/>
        </w:rPr>
        <w:t xml:space="preserve"> Za izboljšanje varnosti in zmanjšanje tveganja nastanka izrednega dogodka na morju, bo vzpostavljen center za nadzor prometa in upravljanje v kriznih situacijah na morju.</w:t>
      </w:r>
    </w:p>
    <w:p w14:paraId="27670A95" w14:textId="77777777" w:rsidR="00C87588" w:rsidRDefault="00C87588" w:rsidP="00C87588">
      <w:pPr>
        <w:spacing w:after="120"/>
        <w:jc w:val="both"/>
        <w:rPr>
          <w:rFonts w:ascii="Arial" w:eastAsia="Times New Roman" w:hAnsi="Arial"/>
          <w:b/>
          <w:sz w:val="20"/>
          <w:szCs w:val="24"/>
        </w:rPr>
      </w:pPr>
    </w:p>
    <w:p w14:paraId="370DCACC" w14:textId="77777777" w:rsidR="00C87588" w:rsidRPr="00C120BE" w:rsidRDefault="00C87588" w:rsidP="00C87588">
      <w:pPr>
        <w:spacing w:after="120"/>
        <w:jc w:val="both"/>
        <w:rPr>
          <w:rFonts w:ascii="Arial" w:eastAsia="Times New Roman" w:hAnsi="Arial"/>
          <w:b/>
          <w:i/>
          <w:sz w:val="20"/>
          <w:szCs w:val="24"/>
        </w:rPr>
      </w:pPr>
      <w:r w:rsidRPr="00C120BE">
        <w:rPr>
          <w:rFonts w:ascii="Arial" w:eastAsia="Times New Roman" w:hAnsi="Arial"/>
          <w:b/>
          <w:i/>
          <w:sz w:val="20"/>
          <w:szCs w:val="24"/>
        </w:rPr>
        <w:t xml:space="preserve">PN 8.3 Aktivno in zdravo staranje </w:t>
      </w:r>
    </w:p>
    <w:p w14:paraId="2729D7B1" w14:textId="77777777" w:rsidR="00C87588" w:rsidRPr="00EE5C01" w:rsidRDefault="00C87588" w:rsidP="00C87588">
      <w:pPr>
        <w:spacing w:after="120"/>
        <w:jc w:val="both"/>
        <w:rPr>
          <w:rFonts w:ascii="Arial" w:eastAsia="Times New Roman" w:hAnsi="Arial"/>
          <w:sz w:val="20"/>
          <w:szCs w:val="24"/>
        </w:rPr>
      </w:pPr>
      <w:r>
        <w:rPr>
          <w:rFonts w:ascii="Arial" w:eastAsia="Times New Roman" w:hAnsi="Arial"/>
          <w:sz w:val="20"/>
          <w:szCs w:val="24"/>
        </w:rPr>
        <w:t xml:space="preserve">Del sredstev iz tehnične prilagoditve </w:t>
      </w:r>
      <w:r w:rsidRPr="00EE5C01">
        <w:rPr>
          <w:rFonts w:ascii="Arial" w:eastAsia="Times New Roman" w:hAnsi="Arial"/>
          <w:sz w:val="20"/>
          <w:szCs w:val="24"/>
        </w:rPr>
        <w:t>se bo namenil</w:t>
      </w:r>
      <w:r>
        <w:rPr>
          <w:rFonts w:ascii="Arial" w:eastAsia="Times New Roman" w:hAnsi="Arial"/>
          <w:sz w:val="20"/>
          <w:szCs w:val="24"/>
        </w:rPr>
        <w:t>o</w:t>
      </w:r>
      <w:r w:rsidRPr="00EE5C01">
        <w:rPr>
          <w:rFonts w:ascii="Arial" w:eastAsia="Times New Roman" w:hAnsi="Arial"/>
          <w:sz w:val="20"/>
          <w:szCs w:val="24"/>
        </w:rPr>
        <w:t xml:space="preserve">  za ukrepe prednostne naložbe Aktivno in zdravo staranje, saj ima Slovenija še vedno najnižjo stopnjo zaposlenosti starejših. V ta namen se namenja sredstva projektom, ki bodo prispevali k večji motiviranosti starejših za daljše ostajanje na delovnem mestu, večjo ozaveščenost delodajalcev za upravljanje s starejšimi zaposlenimi, obenem pa bomo podprli projekte v okviru katerih bi se oblikovali predlogi za spremembo oz prilagoditev delovnih pogojev starejšim zaposlenim (3 mi</w:t>
      </w:r>
      <w:r>
        <w:rPr>
          <w:rFonts w:ascii="Arial" w:eastAsia="Times New Roman" w:hAnsi="Arial"/>
          <w:sz w:val="20"/>
          <w:szCs w:val="24"/>
        </w:rPr>
        <w:t>lijone</w:t>
      </w:r>
      <w:r w:rsidRPr="00EE5C01">
        <w:rPr>
          <w:rFonts w:ascii="Arial" w:eastAsia="Times New Roman" w:hAnsi="Arial"/>
          <w:sz w:val="20"/>
          <w:szCs w:val="24"/>
        </w:rPr>
        <w:t xml:space="preserve"> </w:t>
      </w:r>
      <w:r>
        <w:rPr>
          <w:rFonts w:ascii="Arial" w:eastAsia="Times New Roman" w:hAnsi="Arial"/>
          <w:sz w:val="20"/>
          <w:szCs w:val="24"/>
        </w:rPr>
        <w:t>evrov</w:t>
      </w:r>
      <w:r w:rsidRPr="00EE5C01">
        <w:rPr>
          <w:rFonts w:ascii="Arial" w:eastAsia="Times New Roman" w:hAnsi="Arial"/>
          <w:sz w:val="20"/>
          <w:szCs w:val="24"/>
        </w:rPr>
        <w:t xml:space="preserve">). </w:t>
      </w:r>
    </w:p>
    <w:p w14:paraId="0B446424" w14:textId="77777777" w:rsidR="00C87588" w:rsidRDefault="00C87588" w:rsidP="00C87588">
      <w:pPr>
        <w:spacing w:after="120"/>
        <w:jc w:val="both"/>
        <w:rPr>
          <w:rFonts w:ascii="Arial" w:eastAsia="Times New Roman" w:hAnsi="Arial"/>
          <w:b/>
          <w:sz w:val="20"/>
          <w:szCs w:val="24"/>
        </w:rPr>
      </w:pPr>
    </w:p>
    <w:p w14:paraId="59C26D74" w14:textId="77777777" w:rsidR="00C87588" w:rsidRPr="00C120BE" w:rsidRDefault="00C87588" w:rsidP="00C87588">
      <w:pPr>
        <w:spacing w:after="120"/>
        <w:jc w:val="both"/>
        <w:rPr>
          <w:rFonts w:ascii="Arial" w:eastAsia="Times New Roman" w:hAnsi="Arial"/>
          <w:b/>
          <w:i/>
          <w:sz w:val="20"/>
          <w:szCs w:val="24"/>
        </w:rPr>
      </w:pPr>
      <w:r w:rsidRPr="00C120BE">
        <w:rPr>
          <w:rFonts w:ascii="Arial" w:eastAsia="Times New Roman" w:hAnsi="Arial"/>
          <w:b/>
          <w:i/>
          <w:sz w:val="20"/>
          <w:szCs w:val="24"/>
        </w:rPr>
        <w:t>PN 9.2 Spodbujanje razpoložljivosti cenovno dostopnih, trajnostnih in visoko kakovostnih storitev, vključno z zdravstvenimi in socialnimi storitvami splošnega pomena</w:t>
      </w:r>
    </w:p>
    <w:p w14:paraId="12EDD3B5" w14:textId="77777777" w:rsidR="00C87588" w:rsidRPr="00EE5C01" w:rsidRDefault="00C87588" w:rsidP="00C87588">
      <w:pPr>
        <w:jc w:val="both"/>
        <w:rPr>
          <w:rFonts w:ascii="Arial" w:eastAsia="Times New Roman" w:hAnsi="Arial"/>
          <w:sz w:val="20"/>
          <w:szCs w:val="24"/>
        </w:rPr>
      </w:pPr>
      <w:r w:rsidRPr="00EE5C01">
        <w:rPr>
          <w:rFonts w:ascii="Arial" w:eastAsia="Times New Roman" w:hAnsi="Arial"/>
          <w:sz w:val="20"/>
          <w:szCs w:val="24"/>
        </w:rPr>
        <w:t xml:space="preserve">Del sredstev </w:t>
      </w:r>
      <w:r>
        <w:rPr>
          <w:rFonts w:ascii="Arial" w:eastAsia="Times New Roman" w:hAnsi="Arial"/>
          <w:sz w:val="20"/>
          <w:szCs w:val="24"/>
        </w:rPr>
        <w:t xml:space="preserve">iz tehnične prilagoditve </w:t>
      </w:r>
      <w:r w:rsidRPr="00EE5C01">
        <w:rPr>
          <w:rFonts w:ascii="Arial" w:eastAsia="Times New Roman" w:hAnsi="Arial"/>
          <w:sz w:val="20"/>
          <w:szCs w:val="24"/>
        </w:rPr>
        <w:t xml:space="preserve">se namenja spodbujanju razpoložljivosti cenovno dostopnih, trajnostnih in visoko kakovostnih storitev, vključno z zdravstvenimi in socialnimi </w:t>
      </w:r>
      <w:r w:rsidRPr="00EE5C01">
        <w:rPr>
          <w:rFonts w:ascii="Arial" w:eastAsia="Times New Roman" w:hAnsi="Arial"/>
          <w:sz w:val="20"/>
          <w:szCs w:val="24"/>
        </w:rPr>
        <w:lastRenderedPageBreak/>
        <w:t>storitvami splošnega pomena (7</w:t>
      </w:r>
      <w:r>
        <w:rPr>
          <w:rFonts w:ascii="Arial" w:eastAsia="Times New Roman" w:hAnsi="Arial"/>
          <w:sz w:val="20"/>
          <w:szCs w:val="24"/>
        </w:rPr>
        <w:t>.256.161</w:t>
      </w:r>
      <w:r w:rsidRPr="00EE5C01">
        <w:rPr>
          <w:rFonts w:ascii="Arial" w:eastAsia="Times New Roman" w:hAnsi="Arial"/>
          <w:sz w:val="20"/>
          <w:szCs w:val="24"/>
        </w:rPr>
        <w:t xml:space="preserve"> </w:t>
      </w:r>
      <w:r>
        <w:rPr>
          <w:rFonts w:ascii="Arial" w:eastAsia="Times New Roman" w:hAnsi="Arial"/>
          <w:sz w:val="20"/>
          <w:szCs w:val="24"/>
        </w:rPr>
        <w:t>evrov</w:t>
      </w:r>
      <w:r w:rsidRPr="00EE5C01">
        <w:rPr>
          <w:rFonts w:ascii="Arial" w:eastAsia="Times New Roman" w:hAnsi="Arial"/>
          <w:sz w:val="20"/>
          <w:szCs w:val="24"/>
        </w:rPr>
        <w:t>). Ugotavljamo, da s trenutnimi sredstvi ne bomo mogli zagotoviti ustrezn</w:t>
      </w:r>
      <w:r>
        <w:rPr>
          <w:rFonts w:ascii="Arial" w:eastAsia="Times New Roman" w:hAnsi="Arial"/>
          <w:sz w:val="20"/>
          <w:szCs w:val="24"/>
        </w:rPr>
        <w:t>ih</w:t>
      </w:r>
      <w:r w:rsidRPr="00EE5C01">
        <w:rPr>
          <w:rFonts w:ascii="Arial" w:eastAsia="Times New Roman" w:hAnsi="Arial"/>
          <w:sz w:val="20"/>
          <w:szCs w:val="24"/>
        </w:rPr>
        <w:t xml:space="preserve"> storit</w:t>
      </w:r>
      <w:r>
        <w:rPr>
          <w:rFonts w:ascii="Arial" w:eastAsia="Times New Roman" w:hAnsi="Arial"/>
          <w:sz w:val="20"/>
          <w:szCs w:val="24"/>
        </w:rPr>
        <w:t>e</w:t>
      </w:r>
      <w:r w:rsidRPr="00EE5C01">
        <w:rPr>
          <w:rFonts w:ascii="Arial" w:eastAsia="Times New Roman" w:hAnsi="Arial"/>
          <w:sz w:val="20"/>
          <w:szCs w:val="24"/>
        </w:rPr>
        <w:t>v za vse osebe, ki bodo v okviru PN 9.3 iz institucij premeščene v bivalne skupine oz. ne bodo vključene v institucije. Sredstva se bo nameni</w:t>
      </w:r>
      <w:r>
        <w:rPr>
          <w:rFonts w:ascii="Arial" w:eastAsia="Times New Roman" w:hAnsi="Arial"/>
          <w:sz w:val="20"/>
          <w:szCs w:val="24"/>
        </w:rPr>
        <w:t>lo projektom, ki se izvajajo v V</w:t>
      </w:r>
      <w:r w:rsidRPr="00EE5C01">
        <w:rPr>
          <w:rFonts w:ascii="Arial" w:eastAsia="Times New Roman" w:hAnsi="Arial"/>
          <w:sz w:val="20"/>
          <w:szCs w:val="24"/>
        </w:rPr>
        <w:t xml:space="preserve">zhodni kohezijski regiji in predvidevajo pilotiranje zakonodajnih rešitev, ki bodo podpirali prehod v izvajanje sistemskega zakona o dolgotrajni oskrbi. Z dodatnimi sredstvi bi omogočili tudi boljšo informacijsko podporo za izvajanje sistema dolgotrajne oskrbe. Prav tako pa bi nekaj sredstev namenili še za razvoj novih integriranih storitev socialne in zdravstvene oskrbe v okviru razvoja integrirane mreže  skupnostnih storitev in programov za starejše. </w:t>
      </w:r>
    </w:p>
    <w:p w14:paraId="48DF950E" w14:textId="77777777" w:rsidR="00C87588" w:rsidRPr="00C120BE" w:rsidRDefault="00C87588" w:rsidP="00C87588">
      <w:pPr>
        <w:spacing w:after="120"/>
        <w:jc w:val="both"/>
        <w:rPr>
          <w:rFonts w:ascii="Arial" w:eastAsia="Times New Roman" w:hAnsi="Arial" w:cs="Arial"/>
          <w:b/>
          <w:bCs/>
          <w:i/>
          <w:sz w:val="20"/>
          <w:szCs w:val="20"/>
          <w:lang w:eastAsia="ar-SA"/>
        </w:rPr>
      </w:pPr>
      <w:r w:rsidRPr="00C120BE">
        <w:rPr>
          <w:rFonts w:ascii="Arial" w:eastAsia="Times New Roman" w:hAnsi="Arial"/>
          <w:b/>
          <w:i/>
          <w:sz w:val="20"/>
          <w:szCs w:val="24"/>
        </w:rPr>
        <w:t>PN 11.1 Naložbe v institucionalno zmogljivost ter učinkovitost javnih uprav in javnih storitev na nacionalni, regionalni in lokalni ravni</w:t>
      </w:r>
    </w:p>
    <w:p w14:paraId="44660CCF" w14:textId="77777777" w:rsidR="00C87588" w:rsidRPr="00EE5C01" w:rsidRDefault="00C87588" w:rsidP="00C87588">
      <w:pPr>
        <w:jc w:val="both"/>
        <w:rPr>
          <w:rFonts w:ascii="Arial" w:eastAsia="Times New Roman" w:hAnsi="Arial"/>
          <w:sz w:val="20"/>
          <w:szCs w:val="24"/>
        </w:rPr>
      </w:pPr>
      <w:r w:rsidRPr="00EE5C01">
        <w:rPr>
          <w:rFonts w:ascii="Arial" w:eastAsia="Times New Roman" w:hAnsi="Arial"/>
          <w:sz w:val="20"/>
          <w:szCs w:val="24"/>
        </w:rPr>
        <w:t>Del sredstev ESS se predvideva nameniti tudi ukrepom za institucionalno zmogljivost ter učinkovitost javnih uprav in javnih storitev na nacionalni, regionalni in lokaln</w:t>
      </w:r>
      <w:r>
        <w:rPr>
          <w:rFonts w:ascii="Arial" w:eastAsia="Times New Roman" w:hAnsi="Arial"/>
          <w:sz w:val="20"/>
          <w:szCs w:val="24"/>
        </w:rPr>
        <w:t>i ravni (0,8</w:t>
      </w:r>
      <w:r w:rsidRPr="00EE5C01">
        <w:rPr>
          <w:rFonts w:ascii="Arial" w:eastAsia="Times New Roman" w:hAnsi="Arial"/>
          <w:sz w:val="20"/>
          <w:szCs w:val="24"/>
        </w:rPr>
        <w:t xml:space="preserve"> mi</w:t>
      </w:r>
      <w:r>
        <w:rPr>
          <w:rFonts w:ascii="Arial" w:eastAsia="Times New Roman" w:hAnsi="Arial"/>
          <w:sz w:val="20"/>
          <w:szCs w:val="24"/>
        </w:rPr>
        <w:t>lijona</w:t>
      </w:r>
      <w:r w:rsidRPr="00EE5C01">
        <w:rPr>
          <w:rFonts w:ascii="Arial" w:eastAsia="Times New Roman" w:hAnsi="Arial"/>
          <w:sz w:val="20"/>
          <w:szCs w:val="24"/>
        </w:rPr>
        <w:t xml:space="preserve"> </w:t>
      </w:r>
      <w:r>
        <w:rPr>
          <w:rFonts w:ascii="Arial" w:eastAsia="Times New Roman" w:hAnsi="Arial"/>
          <w:sz w:val="20"/>
          <w:szCs w:val="24"/>
        </w:rPr>
        <w:t>evrov</w:t>
      </w:r>
      <w:r w:rsidRPr="00EE5C01">
        <w:rPr>
          <w:rFonts w:ascii="Arial" w:eastAsia="Times New Roman" w:hAnsi="Arial"/>
          <w:sz w:val="20"/>
          <w:szCs w:val="24"/>
        </w:rPr>
        <w:t>).</w:t>
      </w:r>
    </w:p>
    <w:p w14:paraId="1A06290F" w14:textId="7EA7F594" w:rsidR="00C87588" w:rsidRDefault="00C87588" w:rsidP="00C87588">
      <w:pPr>
        <w:jc w:val="both"/>
        <w:rPr>
          <w:rFonts w:ascii="Arial" w:hAnsi="Arial" w:cs="Arial"/>
          <w:b/>
          <w:sz w:val="20"/>
          <w:szCs w:val="20"/>
        </w:rPr>
      </w:pPr>
      <w:r>
        <w:rPr>
          <w:rFonts w:ascii="Arial" w:eastAsia="Times New Roman" w:hAnsi="Arial"/>
          <w:b/>
          <w:sz w:val="20"/>
          <w:szCs w:val="24"/>
        </w:rPr>
        <w:t xml:space="preserve">Tabela 2: </w:t>
      </w:r>
      <w:proofErr w:type="spellStart"/>
      <w:r>
        <w:rPr>
          <w:rFonts w:ascii="Arial" w:eastAsia="Times New Roman" w:hAnsi="Arial"/>
          <w:b/>
          <w:sz w:val="20"/>
          <w:szCs w:val="24"/>
        </w:rPr>
        <w:t>Sumarni</w:t>
      </w:r>
      <w:proofErr w:type="spellEnd"/>
      <w:r>
        <w:rPr>
          <w:rFonts w:ascii="Arial" w:eastAsia="Times New Roman" w:hAnsi="Arial"/>
          <w:b/>
          <w:sz w:val="20"/>
          <w:szCs w:val="24"/>
        </w:rPr>
        <w:t xml:space="preserve"> pregled (</w:t>
      </w:r>
      <w:proofErr w:type="spellStart"/>
      <w:r>
        <w:rPr>
          <w:rFonts w:ascii="Arial" w:eastAsia="Times New Roman" w:hAnsi="Arial"/>
          <w:b/>
          <w:sz w:val="20"/>
          <w:szCs w:val="24"/>
        </w:rPr>
        <w:t>re</w:t>
      </w:r>
      <w:proofErr w:type="spellEnd"/>
      <w:r>
        <w:rPr>
          <w:rFonts w:ascii="Arial" w:eastAsia="Times New Roman" w:hAnsi="Arial"/>
          <w:b/>
          <w:sz w:val="20"/>
          <w:szCs w:val="24"/>
        </w:rPr>
        <w:t>)alokacije pravic porabe (</w:t>
      </w:r>
      <w:r>
        <w:rPr>
          <w:rFonts w:ascii="Arial" w:hAnsi="Arial" w:cs="Arial"/>
          <w:b/>
          <w:sz w:val="20"/>
          <w:szCs w:val="20"/>
        </w:rPr>
        <w:t>p</w:t>
      </w:r>
      <w:r w:rsidRPr="003D3B44">
        <w:rPr>
          <w:rFonts w:ascii="Arial" w:hAnsi="Arial" w:cs="Arial"/>
          <w:b/>
          <w:sz w:val="20"/>
          <w:szCs w:val="20"/>
        </w:rPr>
        <w:t>rikazane samo prednostne naložbe, kjer prihaja do sprememb</w:t>
      </w:r>
      <w:r w:rsidR="007E4367">
        <w:rPr>
          <w:rFonts w:ascii="Arial" w:hAnsi="Arial" w:cs="Arial"/>
          <w:b/>
          <w:sz w:val="20"/>
          <w:szCs w:val="20"/>
        </w:rPr>
        <w:t xml:space="preserve">) </w:t>
      </w:r>
    </w:p>
    <w:tbl>
      <w:tblPr>
        <w:tblW w:w="8542" w:type="dxa"/>
        <w:tblCellMar>
          <w:left w:w="70" w:type="dxa"/>
          <w:right w:w="70" w:type="dxa"/>
        </w:tblCellMar>
        <w:tblLook w:val="04A0" w:firstRow="1" w:lastRow="0" w:firstColumn="1" w:lastColumn="0" w:noHBand="0" w:noVBand="1"/>
      </w:tblPr>
      <w:tblGrid>
        <w:gridCol w:w="2391"/>
        <w:gridCol w:w="1209"/>
        <w:gridCol w:w="1133"/>
        <w:gridCol w:w="1133"/>
        <w:gridCol w:w="1268"/>
        <w:gridCol w:w="1408"/>
      </w:tblGrid>
      <w:tr w:rsidR="00C87588" w:rsidRPr="00C2237A" w14:paraId="2F99E084" w14:textId="77777777" w:rsidTr="00C87588">
        <w:trPr>
          <w:trHeight w:val="530"/>
        </w:trPr>
        <w:tc>
          <w:tcPr>
            <w:tcW w:w="2391"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961DF57" w14:textId="77777777" w:rsidR="00C87588" w:rsidRPr="00C2237A" w:rsidRDefault="00C87588" w:rsidP="00C87588">
            <w:pPr>
              <w:spacing w:after="0" w:line="240" w:lineRule="auto"/>
              <w:rPr>
                <w:rFonts w:eastAsia="Times New Roman"/>
                <w:b/>
                <w:bCs/>
                <w:color w:val="000000"/>
                <w:sz w:val="20"/>
                <w:szCs w:val="20"/>
                <w:lang w:eastAsia="sl-SI"/>
              </w:rPr>
            </w:pPr>
            <w:r w:rsidRPr="00C2237A">
              <w:rPr>
                <w:rFonts w:eastAsia="Times New Roman"/>
                <w:b/>
                <w:bCs/>
                <w:color w:val="000000"/>
                <w:sz w:val="20"/>
                <w:szCs w:val="20"/>
                <w:lang w:eastAsia="sl-SI"/>
              </w:rPr>
              <w:t>Prednostna naložba</w:t>
            </w:r>
          </w:p>
        </w:tc>
        <w:tc>
          <w:tcPr>
            <w:tcW w:w="1209" w:type="dxa"/>
            <w:tcBorders>
              <w:top w:val="single" w:sz="4" w:space="0" w:color="auto"/>
              <w:left w:val="nil"/>
              <w:bottom w:val="single" w:sz="4" w:space="0" w:color="auto"/>
              <w:right w:val="single" w:sz="4" w:space="0" w:color="auto"/>
            </w:tcBorders>
            <w:shd w:val="clear" w:color="000000" w:fill="BFBFBF"/>
            <w:vAlign w:val="bottom"/>
            <w:hideMark/>
          </w:tcPr>
          <w:p w14:paraId="3AC203F8" w14:textId="77777777" w:rsidR="00C87588" w:rsidRPr="00C2237A" w:rsidRDefault="00C87588" w:rsidP="00C87588">
            <w:pPr>
              <w:spacing w:after="0" w:line="240" w:lineRule="auto"/>
              <w:rPr>
                <w:rFonts w:eastAsia="Times New Roman"/>
                <w:b/>
                <w:bCs/>
                <w:color w:val="000000"/>
                <w:sz w:val="20"/>
                <w:szCs w:val="20"/>
                <w:lang w:eastAsia="sl-SI"/>
              </w:rPr>
            </w:pPr>
            <w:r>
              <w:rPr>
                <w:rFonts w:eastAsia="Times New Roman"/>
                <w:b/>
                <w:bCs/>
                <w:color w:val="000000"/>
                <w:sz w:val="20"/>
                <w:szCs w:val="20"/>
                <w:lang w:eastAsia="sl-SI"/>
              </w:rPr>
              <w:t>p</w:t>
            </w:r>
            <w:r w:rsidRPr="00C2237A">
              <w:rPr>
                <w:rFonts w:eastAsia="Times New Roman"/>
                <w:b/>
                <w:bCs/>
                <w:color w:val="000000"/>
                <w:sz w:val="20"/>
                <w:szCs w:val="20"/>
                <w:lang w:eastAsia="sl-SI"/>
              </w:rPr>
              <w:t>ravice porabe</w:t>
            </w:r>
          </w:p>
        </w:tc>
        <w:tc>
          <w:tcPr>
            <w:tcW w:w="1133" w:type="dxa"/>
            <w:tcBorders>
              <w:top w:val="single" w:sz="4" w:space="0" w:color="auto"/>
              <w:left w:val="nil"/>
              <w:bottom w:val="single" w:sz="4" w:space="0" w:color="auto"/>
              <w:right w:val="single" w:sz="4" w:space="0" w:color="auto"/>
            </w:tcBorders>
            <w:shd w:val="clear" w:color="000000" w:fill="BFBFBF"/>
            <w:vAlign w:val="bottom"/>
            <w:hideMark/>
          </w:tcPr>
          <w:p w14:paraId="401F0235" w14:textId="77777777" w:rsidR="00C87588" w:rsidRPr="00C2237A" w:rsidRDefault="00C87588" w:rsidP="00C87588">
            <w:pPr>
              <w:spacing w:after="0" w:line="240" w:lineRule="auto"/>
              <w:rPr>
                <w:rFonts w:eastAsia="Times New Roman"/>
                <w:b/>
                <w:bCs/>
                <w:color w:val="000000"/>
                <w:sz w:val="20"/>
                <w:szCs w:val="20"/>
                <w:lang w:eastAsia="sl-SI"/>
              </w:rPr>
            </w:pPr>
            <w:r w:rsidRPr="00C2237A">
              <w:rPr>
                <w:rFonts w:eastAsia="Times New Roman"/>
                <w:b/>
                <w:bCs/>
                <w:color w:val="000000"/>
                <w:sz w:val="20"/>
                <w:szCs w:val="20"/>
                <w:lang w:eastAsia="sl-SI"/>
              </w:rPr>
              <w:t>tehnični popravek</w:t>
            </w:r>
          </w:p>
        </w:tc>
        <w:tc>
          <w:tcPr>
            <w:tcW w:w="1133" w:type="dxa"/>
            <w:tcBorders>
              <w:top w:val="single" w:sz="4" w:space="0" w:color="auto"/>
              <w:left w:val="nil"/>
              <w:bottom w:val="single" w:sz="4" w:space="0" w:color="auto"/>
              <w:right w:val="single" w:sz="4" w:space="0" w:color="auto"/>
            </w:tcBorders>
            <w:shd w:val="clear" w:color="000000" w:fill="BFBFBF"/>
            <w:vAlign w:val="bottom"/>
            <w:hideMark/>
          </w:tcPr>
          <w:p w14:paraId="00A47F2E" w14:textId="77777777" w:rsidR="00C87588" w:rsidRPr="00C2237A" w:rsidRDefault="00C87588" w:rsidP="00C87588">
            <w:pPr>
              <w:spacing w:after="0" w:line="240" w:lineRule="auto"/>
              <w:jc w:val="center"/>
              <w:rPr>
                <w:rFonts w:eastAsia="Times New Roman"/>
                <w:b/>
                <w:bCs/>
                <w:color w:val="000000"/>
                <w:sz w:val="20"/>
                <w:szCs w:val="20"/>
                <w:lang w:eastAsia="sl-SI"/>
              </w:rPr>
            </w:pPr>
            <w:r w:rsidRPr="00C2237A">
              <w:rPr>
                <w:rFonts w:eastAsia="Times New Roman"/>
                <w:b/>
                <w:bCs/>
                <w:color w:val="000000"/>
                <w:sz w:val="20"/>
                <w:szCs w:val="20"/>
                <w:lang w:eastAsia="sl-SI"/>
              </w:rPr>
              <w:t>spremembe OP</w:t>
            </w:r>
          </w:p>
        </w:tc>
        <w:tc>
          <w:tcPr>
            <w:tcW w:w="1268" w:type="dxa"/>
            <w:tcBorders>
              <w:top w:val="single" w:sz="4" w:space="0" w:color="auto"/>
              <w:left w:val="nil"/>
              <w:bottom w:val="single" w:sz="4" w:space="0" w:color="auto"/>
              <w:right w:val="single" w:sz="4" w:space="0" w:color="auto"/>
            </w:tcBorders>
            <w:shd w:val="clear" w:color="000000" w:fill="BFBFBF"/>
            <w:vAlign w:val="bottom"/>
            <w:hideMark/>
          </w:tcPr>
          <w:p w14:paraId="41AFA59C" w14:textId="77777777" w:rsidR="00C87588" w:rsidRPr="00C2237A" w:rsidRDefault="00C87588" w:rsidP="00C87588">
            <w:pPr>
              <w:spacing w:after="0" w:line="240" w:lineRule="auto"/>
              <w:jc w:val="center"/>
              <w:rPr>
                <w:rFonts w:eastAsia="Times New Roman"/>
                <w:b/>
                <w:bCs/>
                <w:color w:val="000000"/>
                <w:sz w:val="20"/>
                <w:szCs w:val="20"/>
                <w:lang w:eastAsia="sl-SI"/>
              </w:rPr>
            </w:pPr>
            <w:r w:rsidRPr="00C2237A">
              <w:rPr>
                <w:rFonts w:eastAsia="Times New Roman"/>
                <w:b/>
                <w:bCs/>
                <w:color w:val="000000"/>
                <w:sz w:val="20"/>
                <w:szCs w:val="20"/>
                <w:lang w:eastAsia="sl-SI"/>
              </w:rPr>
              <w:t>skupaj spremembe</w:t>
            </w:r>
          </w:p>
        </w:tc>
        <w:tc>
          <w:tcPr>
            <w:tcW w:w="1408" w:type="dxa"/>
            <w:tcBorders>
              <w:top w:val="single" w:sz="4" w:space="0" w:color="auto"/>
              <w:left w:val="nil"/>
              <w:bottom w:val="single" w:sz="4" w:space="0" w:color="auto"/>
              <w:right w:val="single" w:sz="4" w:space="0" w:color="auto"/>
            </w:tcBorders>
            <w:shd w:val="clear" w:color="000000" w:fill="BFBFBF"/>
            <w:vAlign w:val="bottom"/>
            <w:hideMark/>
          </w:tcPr>
          <w:p w14:paraId="0A71175C" w14:textId="77777777" w:rsidR="00C87588" w:rsidRPr="00C2237A" w:rsidRDefault="00C87588" w:rsidP="00C87588">
            <w:pPr>
              <w:spacing w:after="0" w:line="240" w:lineRule="auto"/>
              <w:jc w:val="center"/>
              <w:rPr>
                <w:rFonts w:eastAsia="Times New Roman"/>
                <w:b/>
                <w:bCs/>
                <w:color w:val="000000"/>
                <w:sz w:val="20"/>
                <w:szCs w:val="20"/>
                <w:lang w:eastAsia="sl-SI"/>
              </w:rPr>
            </w:pPr>
            <w:r>
              <w:rPr>
                <w:rFonts w:eastAsia="Times New Roman"/>
                <w:b/>
                <w:bCs/>
                <w:color w:val="000000"/>
                <w:sz w:val="20"/>
                <w:szCs w:val="20"/>
                <w:lang w:eastAsia="sl-SI"/>
              </w:rPr>
              <w:t>n</w:t>
            </w:r>
            <w:r w:rsidRPr="00C2237A">
              <w:rPr>
                <w:rFonts w:eastAsia="Times New Roman"/>
                <w:b/>
                <w:bCs/>
                <w:color w:val="000000"/>
                <w:sz w:val="20"/>
                <w:szCs w:val="20"/>
                <w:lang w:eastAsia="sl-SI"/>
              </w:rPr>
              <w:t>ove pravice porabe</w:t>
            </w:r>
          </w:p>
        </w:tc>
      </w:tr>
      <w:tr w:rsidR="00C87588" w:rsidRPr="00C2237A" w14:paraId="3C398B6E" w14:textId="77777777" w:rsidTr="00C87588">
        <w:trPr>
          <w:trHeight w:val="480"/>
        </w:trPr>
        <w:tc>
          <w:tcPr>
            <w:tcW w:w="2391" w:type="dxa"/>
            <w:tcBorders>
              <w:top w:val="nil"/>
              <w:left w:val="single" w:sz="4" w:space="0" w:color="auto"/>
              <w:bottom w:val="single" w:sz="4" w:space="0" w:color="auto"/>
              <w:right w:val="single" w:sz="4" w:space="0" w:color="auto"/>
            </w:tcBorders>
            <w:shd w:val="clear" w:color="auto" w:fill="auto"/>
            <w:vAlign w:val="center"/>
            <w:hideMark/>
          </w:tcPr>
          <w:p w14:paraId="3D46F55B" w14:textId="6D7A70C9" w:rsidR="00C87588" w:rsidRPr="00C2237A" w:rsidRDefault="00122670" w:rsidP="00C87588">
            <w:pPr>
              <w:spacing w:after="0" w:line="240" w:lineRule="auto"/>
              <w:rPr>
                <w:rFonts w:eastAsia="Times New Roman"/>
                <w:color w:val="000000"/>
                <w:sz w:val="18"/>
                <w:szCs w:val="18"/>
                <w:lang w:eastAsia="sl-SI"/>
              </w:rPr>
            </w:pPr>
            <w:r>
              <w:rPr>
                <w:rFonts w:eastAsia="Times New Roman"/>
                <w:color w:val="000000"/>
                <w:sz w:val="18"/>
                <w:szCs w:val="18"/>
                <w:lang w:eastAsia="sl-SI"/>
              </w:rPr>
              <w:t xml:space="preserve">1.2 </w:t>
            </w:r>
            <w:r w:rsidR="00C87588" w:rsidRPr="00C2237A">
              <w:rPr>
                <w:rFonts w:eastAsia="Times New Roman"/>
                <w:color w:val="000000"/>
                <w:sz w:val="18"/>
                <w:szCs w:val="18"/>
                <w:lang w:eastAsia="sl-SI"/>
              </w:rPr>
              <w:t xml:space="preserve">Spodbujanje naložb podjetij v raziskave in inovacije </w:t>
            </w:r>
          </w:p>
        </w:tc>
        <w:tc>
          <w:tcPr>
            <w:tcW w:w="1209" w:type="dxa"/>
            <w:tcBorders>
              <w:top w:val="nil"/>
              <w:left w:val="nil"/>
              <w:bottom w:val="single" w:sz="4" w:space="0" w:color="auto"/>
              <w:right w:val="single" w:sz="4" w:space="0" w:color="auto"/>
            </w:tcBorders>
            <w:shd w:val="clear" w:color="auto" w:fill="auto"/>
            <w:noWrap/>
            <w:vAlign w:val="bottom"/>
            <w:hideMark/>
          </w:tcPr>
          <w:p w14:paraId="663F6FE2" w14:textId="77777777" w:rsidR="00C87588" w:rsidRPr="00C2237A" w:rsidRDefault="00C87588" w:rsidP="00C87588">
            <w:pPr>
              <w:spacing w:after="0" w:line="240" w:lineRule="auto"/>
              <w:jc w:val="right"/>
              <w:rPr>
                <w:rFonts w:eastAsia="Times New Roman"/>
                <w:color w:val="000000"/>
                <w:sz w:val="18"/>
                <w:szCs w:val="18"/>
                <w:lang w:eastAsia="sl-SI"/>
              </w:rPr>
            </w:pPr>
            <w:r w:rsidRPr="00C2237A">
              <w:rPr>
                <w:rFonts w:eastAsia="Times New Roman"/>
                <w:color w:val="000000"/>
                <w:sz w:val="18"/>
                <w:szCs w:val="18"/>
                <w:lang w:eastAsia="sl-SI"/>
              </w:rPr>
              <w:t>276.392.626</w:t>
            </w:r>
          </w:p>
        </w:tc>
        <w:tc>
          <w:tcPr>
            <w:tcW w:w="1133" w:type="dxa"/>
            <w:tcBorders>
              <w:top w:val="single" w:sz="4" w:space="0" w:color="auto"/>
              <w:left w:val="nil"/>
              <w:bottom w:val="single" w:sz="4" w:space="0" w:color="auto"/>
              <w:right w:val="single" w:sz="4" w:space="0" w:color="auto"/>
            </w:tcBorders>
            <w:shd w:val="clear" w:color="auto" w:fill="auto"/>
            <w:noWrap/>
            <w:vAlign w:val="bottom"/>
            <w:hideMark/>
          </w:tcPr>
          <w:p w14:paraId="2AB42A69" w14:textId="77777777" w:rsidR="00C87588" w:rsidRPr="00C2237A" w:rsidRDefault="00C87588" w:rsidP="00C87588">
            <w:pPr>
              <w:spacing w:after="0" w:line="240" w:lineRule="auto"/>
              <w:jc w:val="right"/>
              <w:rPr>
                <w:rFonts w:eastAsia="Times New Roman"/>
                <w:color w:val="000000" w:themeColor="text1"/>
                <w:sz w:val="18"/>
                <w:szCs w:val="18"/>
                <w:lang w:eastAsia="sl-SI"/>
              </w:rPr>
            </w:pPr>
            <w:r w:rsidRPr="00C2237A">
              <w:rPr>
                <w:rFonts w:eastAsia="Times New Roman"/>
                <w:color w:val="000000" w:themeColor="text1"/>
                <w:sz w:val="18"/>
                <w:szCs w:val="18"/>
                <w:lang w:eastAsia="sl-SI"/>
              </w:rPr>
              <w:t> </w:t>
            </w:r>
          </w:p>
        </w:tc>
        <w:tc>
          <w:tcPr>
            <w:tcW w:w="1133" w:type="dxa"/>
            <w:tcBorders>
              <w:top w:val="single" w:sz="4" w:space="0" w:color="auto"/>
              <w:left w:val="nil"/>
              <w:bottom w:val="single" w:sz="4" w:space="0" w:color="auto"/>
              <w:right w:val="single" w:sz="4" w:space="0" w:color="auto"/>
            </w:tcBorders>
            <w:shd w:val="clear" w:color="auto" w:fill="auto"/>
            <w:noWrap/>
            <w:vAlign w:val="bottom"/>
            <w:hideMark/>
          </w:tcPr>
          <w:p w14:paraId="5CCBDAE8" w14:textId="77777777" w:rsidR="00C87588" w:rsidRPr="00C2237A" w:rsidRDefault="00C87588" w:rsidP="00C87588">
            <w:pPr>
              <w:spacing w:after="0" w:line="240" w:lineRule="auto"/>
              <w:jc w:val="right"/>
              <w:rPr>
                <w:rFonts w:eastAsia="Times New Roman"/>
                <w:color w:val="000000" w:themeColor="text1"/>
                <w:sz w:val="18"/>
                <w:szCs w:val="18"/>
                <w:lang w:eastAsia="sl-SI"/>
              </w:rPr>
            </w:pPr>
            <w:r w:rsidRPr="00C2237A">
              <w:rPr>
                <w:rFonts w:eastAsia="Times New Roman"/>
                <w:color w:val="000000" w:themeColor="text1"/>
                <w:sz w:val="18"/>
                <w:szCs w:val="18"/>
                <w:lang w:eastAsia="sl-SI"/>
              </w:rPr>
              <w:t>14.000.000</w:t>
            </w:r>
          </w:p>
        </w:tc>
        <w:tc>
          <w:tcPr>
            <w:tcW w:w="1268" w:type="dxa"/>
            <w:tcBorders>
              <w:top w:val="nil"/>
              <w:left w:val="nil"/>
              <w:bottom w:val="single" w:sz="4" w:space="0" w:color="auto"/>
              <w:right w:val="single" w:sz="4" w:space="0" w:color="auto"/>
            </w:tcBorders>
            <w:shd w:val="clear" w:color="auto" w:fill="auto"/>
            <w:noWrap/>
            <w:vAlign w:val="bottom"/>
            <w:hideMark/>
          </w:tcPr>
          <w:p w14:paraId="1399CB2E" w14:textId="77777777" w:rsidR="00C87588" w:rsidRPr="00C2237A" w:rsidRDefault="00C87588" w:rsidP="00C87588">
            <w:pPr>
              <w:spacing w:after="0" w:line="240" w:lineRule="auto"/>
              <w:jc w:val="right"/>
              <w:rPr>
                <w:rFonts w:eastAsia="Times New Roman"/>
                <w:b/>
                <w:color w:val="000000"/>
                <w:sz w:val="18"/>
                <w:szCs w:val="18"/>
                <w:lang w:eastAsia="sl-SI"/>
              </w:rPr>
            </w:pPr>
            <w:r w:rsidRPr="00C2237A">
              <w:rPr>
                <w:rFonts w:eastAsia="Times New Roman"/>
                <w:b/>
                <w:color w:val="000000"/>
                <w:sz w:val="18"/>
                <w:szCs w:val="18"/>
                <w:lang w:eastAsia="sl-SI"/>
              </w:rPr>
              <w:t>14.000.000</w:t>
            </w:r>
          </w:p>
        </w:tc>
        <w:tc>
          <w:tcPr>
            <w:tcW w:w="1408" w:type="dxa"/>
            <w:tcBorders>
              <w:top w:val="nil"/>
              <w:left w:val="nil"/>
              <w:bottom w:val="single" w:sz="4" w:space="0" w:color="auto"/>
              <w:right w:val="single" w:sz="4" w:space="0" w:color="auto"/>
            </w:tcBorders>
            <w:shd w:val="clear" w:color="auto" w:fill="auto"/>
            <w:noWrap/>
            <w:vAlign w:val="bottom"/>
            <w:hideMark/>
          </w:tcPr>
          <w:p w14:paraId="0E144F79" w14:textId="77777777" w:rsidR="00C87588" w:rsidRPr="00946CC3" w:rsidRDefault="00C87588" w:rsidP="00C87588">
            <w:pPr>
              <w:spacing w:after="0" w:line="240" w:lineRule="auto"/>
              <w:jc w:val="right"/>
              <w:rPr>
                <w:rFonts w:eastAsia="Times New Roman"/>
                <w:b/>
                <w:color w:val="000000"/>
                <w:sz w:val="18"/>
                <w:szCs w:val="18"/>
                <w:lang w:eastAsia="sl-SI"/>
              </w:rPr>
            </w:pPr>
            <w:r w:rsidRPr="00946CC3">
              <w:rPr>
                <w:rFonts w:eastAsia="Times New Roman"/>
                <w:b/>
                <w:color w:val="000000"/>
                <w:sz w:val="18"/>
                <w:szCs w:val="18"/>
                <w:lang w:eastAsia="sl-SI"/>
              </w:rPr>
              <w:t>290.392.626</w:t>
            </w:r>
          </w:p>
        </w:tc>
      </w:tr>
      <w:tr w:rsidR="00C87588" w:rsidRPr="00C2237A" w14:paraId="07722226" w14:textId="77777777" w:rsidTr="00C87588">
        <w:trPr>
          <w:trHeight w:val="290"/>
        </w:trPr>
        <w:tc>
          <w:tcPr>
            <w:tcW w:w="2391" w:type="dxa"/>
            <w:tcBorders>
              <w:top w:val="nil"/>
              <w:left w:val="single" w:sz="4" w:space="0" w:color="auto"/>
              <w:bottom w:val="single" w:sz="4" w:space="0" w:color="auto"/>
              <w:right w:val="single" w:sz="4" w:space="0" w:color="auto"/>
            </w:tcBorders>
            <w:shd w:val="clear" w:color="auto" w:fill="auto"/>
            <w:vAlign w:val="center"/>
            <w:hideMark/>
          </w:tcPr>
          <w:p w14:paraId="06A6D6D4" w14:textId="77777777" w:rsidR="00C87588" w:rsidRPr="00C2237A" w:rsidRDefault="00C87588" w:rsidP="00C87588">
            <w:pPr>
              <w:spacing w:after="0" w:line="240" w:lineRule="auto"/>
              <w:rPr>
                <w:rFonts w:eastAsia="Times New Roman"/>
                <w:color w:val="000000"/>
                <w:sz w:val="18"/>
                <w:szCs w:val="18"/>
                <w:lang w:eastAsia="sl-SI"/>
              </w:rPr>
            </w:pPr>
            <w:r w:rsidRPr="00C2237A">
              <w:rPr>
                <w:rFonts w:eastAsia="Times New Roman"/>
                <w:color w:val="000000"/>
                <w:sz w:val="18"/>
                <w:szCs w:val="18"/>
                <w:lang w:eastAsia="sl-SI"/>
              </w:rPr>
              <w:t xml:space="preserve">2.1 Širitev širokopasovnih storitev </w:t>
            </w:r>
          </w:p>
        </w:tc>
        <w:tc>
          <w:tcPr>
            <w:tcW w:w="1209" w:type="dxa"/>
            <w:tcBorders>
              <w:top w:val="nil"/>
              <w:left w:val="nil"/>
              <w:bottom w:val="single" w:sz="4" w:space="0" w:color="auto"/>
              <w:right w:val="single" w:sz="4" w:space="0" w:color="auto"/>
            </w:tcBorders>
            <w:shd w:val="clear" w:color="auto" w:fill="auto"/>
            <w:noWrap/>
            <w:vAlign w:val="bottom"/>
            <w:hideMark/>
          </w:tcPr>
          <w:p w14:paraId="498C2AA7" w14:textId="77777777" w:rsidR="00C87588" w:rsidRPr="00C2237A" w:rsidRDefault="00C87588" w:rsidP="00C87588">
            <w:pPr>
              <w:spacing w:after="0" w:line="240" w:lineRule="auto"/>
              <w:jc w:val="right"/>
              <w:rPr>
                <w:rFonts w:eastAsia="Times New Roman"/>
                <w:color w:val="000000"/>
                <w:sz w:val="18"/>
                <w:szCs w:val="18"/>
                <w:lang w:eastAsia="sl-SI"/>
              </w:rPr>
            </w:pPr>
            <w:r w:rsidRPr="00C2237A">
              <w:rPr>
                <w:rFonts w:eastAsia="Times New Roman"/>
                <w:color w:val="000000"/>
                <w:sz w:val="18"/>
                <w:szCs w:val="18"/>
                <w:lang w:eastAsia="sl-SI"/>
              </w:rPr>
              <w:t>50.018.277</w:t>
            </w:r>
          </w:p>
        </w:tc>
        <w:tc>
          <w:tcPr>
            <w:tcW w:w="1133" w:type="dxa"/>
            <w:tcBorders>
              <w:top w:val="single" w:sz="4" w:space="0" w:color="auto"/>
              <w:left w:val="nil"/>
              <w:bottom w:val="single" w:sz="4" w:space="0" w:color="auto"/>
              <w:right w:val="single" w:sz="4" w:space="0" w:color="auto"/>
            </w:tcBorders>
            <w:shd w:val="clear" w:color="auto" w:fill="auto"/>
            <w:noWrap/>
            <w:vAlign w:val="bottom"/>
            <w:hideMark/>
          </w:tcPr>
          <w:p w14:paraId="214D25E2" w14:textId="77777777" w:rsidR="00C87588" w:rsidRPr="00C2237A" w:rsidRDefault="00C87588" w:rsidP="00C87588">
            <w:pPr>
              <w:spacing w:after="0" w:line="240" w:lineRule="auto"/>
              <w:jc w:val="right"/>
              <w:rPr>
                <w:rFonts w:eastAsia="Times New Roman"/>
                <w:color w:val="000000" w:themeColor="text1"/>
                <w:sz w:val="18"/>
                <w:szCs w:val="18"/>
                <w:lang w:eastAsia="sl-SI"/>
              </w:rPr>
            </w:pPr>
            <w:r w:rsidRPr="00C2237A">
              <w:rPr>
                <w:rFonts w:eastAsia="Times New Roman"/>
                <w:color w:val="000000" w:themeColor="text1"/>
                <w:sz w:val="18"/>
                <w:szCs w:val="18"/>
                <w:lang w:eastAsia="sl-SI"/>
              </w:rPr>
              <w:t> </w:t>
            </w:r>
          </w:p>
        </w:tc>
        <w:tc>
          <w:tcPr>
            <w:tcW w:w="1133" w:type="dxa"/>
            <w:tcBorders>
              <w:top w:val="single" w:sz="4" w:space="0" w:color="auto"/>
              <w:left w:val="nil"/>
              <w:bottom w:val="single" w:sz="4" w:space="0" w:color="auto"/>
              <w:right w:val="single" w:sz="4" w:space="0" w:color="auto"/>
            </w:tcBorders>
            <w:shd w:val="clear" w:color="auto" w:fill="auto"/>
            <w:noWrap/>
            <w:vAlign w:val="bottom"/>
            <w:hideMark/>
          </w:tcPr>
          <w:p w14:paraId="27B30115" w14:textId="77777777" w:rsidR="00C87588" w:rsidRDefault="00C87588" w:rsidP="00C87588">
            <w:pPr>
              <w:spacing w:after="0" w:line="240" w:lineRule="auto"/>
              <w:jc w:val="right"/>
              <w:rPr>
                <w:rFonts w:eastAsia="Times New Roman"/>
                <w:color w:val="000000" w:themeColor="text1"/>
                <w:sz w:val="18"/>
                <w:szCs w:val="18"/>
                <w:lang w:eastAsia="sl-SI"/>
              </w:rPr>
            </w:pPr>
          </w:p>
          <w:p w14:paraId="193D3C07" w14:textId="77777777" w:rsidR="00C87588" w:rsidRPr="00C2237A" w:rsidRDefault="00C87588" w:rsidP="00C87588">
            <w:pPr>
              <w:spacing w:after="0" w:line="240" w:lineRule="auto"/>
              <w:jc w:val="right"/>
              <w:rPr>
                <w:rFonts w:eastAsia="Times New Roman"/>
                <w:color w:val="000000" w:themeColor="text1"/>
                <w:sz w:val="18"/>
                <w:szCs w:val="18"/>
                <w:lang w:eastAsia="sl-SI"/>
              </w:rPr>
            </w:pPr>
            <w:r w:rsidRPr="005525BA">
              <w:rPr>
                <w:rFonts w:eastAsia="Times New Roman"/>
                <w:color w:val="000000" w:themeColor="text1"/>
                <w:sz w:val="18"/>
                <w:szCs w:val="18"/>
                <w:lang w:eastAsia="sl-SI"/>
              </w:rPr>
              <w:t>-22.785.317</w:t>
            </w:r>
          </w:p>
        </w:tc>
        <w:tc>
          <w:tcPr>
            <w:tcW w:w="1268" w:type="dxa"/>
            <w:tcBorders>
              <w:top w:val="nil"/>
              <w:left w:val="nil"/>
              <w:bottom w:val="single" w:sz="4" w:space="0" w:color="auto"/>
              <w:right w:val="single" w:sz="4" w:space="0" w:color="auto"/>
            </w:tcBorders>
            <w:shd w:val="clear" w:color="auto" w:fill="auto"/>
            <w:noWrap/>
            <w:vAlign w:val="bottom"/>
            <w:hideMark/>
          </w:tcPr>
          <w:p w14:paraId="5D349143" w14:textId="77777777" w:rsidR="00C87588" w:rsidRPr="005525BA" w:rsidRDefault="00C87588" w:rsidP="00C87588">
            <w:pPr>
              <w:spacing w:after="0" w:line="240" w:lineRule="auto"/>
              <w:jc w:val="right"/>
              <w:rPr>
                <w:rFonts w:eastAsia="Times New Roman"/>
                <w:b/>
                <w:color w:val="000000" w:themeColor="text1"/>
                <w:sz w:val="18"/>
                <w:szCs w:val="18"/>
                <w:lang w:eastAsia="sl-SI"/>
              </w:rPr>
            </w:pPr>
            <w:r w:rsidRPr="005525BA">
              <w:rPr>
                <w:rFonts w:eastAsia="Times New Roman"/>
                <w:b/>
                <w:color w:val="000000" w:themeColor="text1"/>
                <w:sz w:val="18"/>
                <w:szCs w:val="18"/>
                <w:lang w:eastAsia="sl-SI"/>
              </w:rPr>
              <w:t>-22.785.317</w:t>
            </w:r>
          </w:p>
        </w:tc>
        <w:tc>
          <w:tcPr>
            <w:tcW w:w="1408" w:type="dxa"/>
            <w:tcBorders>
              <w:top w:val="nil"/>
              <w:left w:val="nil"/>
              <w:bottom w:val="single" w:sz="4" w:space="0" w:color="auto"/>
              <w:right w:val="single" w:sz="4" w:space="0" w:color="auto"/>
            </w:tcBorders>
            <w:shd w:val="clear" w:color="auto" w:fill="auto"/>
            <w:noWrap/>
            <w:vAlign w:val="bottom"/>
            <w:hideMark/>
          </w:tcPr>
          <w:p w14:paraId="44B5A46F" w14:textId="77777777" w:rsidR="00C87588" w:rsidRPr="00946CC3" w:rsidRDefault="00C87588" w:rsidP="00C87588">
            <w:pPr>
              <w:spacing w:after="0" w:line="240" w:lineRule="auto"/>
              <w:jc w:val="right"/>
              <w:rPr>
                <w:rFonts w:eastAsia="Times New Roman"/>
                <w:b/>
                <w:color w:val="000000" w:themeColor="text1"/>
                <w:sz w:val="18"/>
                <w:szCs w:val="18"/>
                <w:lang w:eastAsia="sl-SI"/>
              </w:rPr>
            </w:pPr>
            <w:r w:rsidRPr="00946CC3">
              <w:rPr>
                <w:rFonts w:eastAsia="Times New Roman"/>
                <w:b/>
                <w:color w:val="000000" w:themeColor="text1"/>
                <w:sz w:val="18"/>
                <w:szCs w:val="18"/>
                <w:lang w:eastAsia="sl-SI"/>
              </w:rPr>
              <w:t>27.232.960</w:t>
            </w:r>
          </w:p>
        </w:tc>
      </w:tr>
      <w:tr w:rsidR="00C87588" w:rsidRPr="00C2237A" w14:paraId="4540FE49" w14:textId="77777777" w:rsidTr="00C87588">
        <w:trPr>
          <w:trHeight w:val="290"/>
        </w:trPr>
        <w:tc>
          <w:tcPr>
            <w:tcW w:w="2391" w:type="dxa"/>
            <w:tcBorders>
              <w:top w:val="nil"/>
              <w:left w:val="single" w:sz="4" w:space="0" w:color="auto"/>
              <w:bottom w:val="single" w:sz="4" w:space="0" w:color="auto"/>
              <w:right w:val="single" w:sz="4" w:space="0" w:color="auto"/>
            </w:tcBorders>
            <w:shd w:val="clear" w:color="auto" w:fill="auto"/>
            <w:vAlign w:val="center"/>
            <w:hideMark/>
          </w:tcPr>
          <w:p w14:paraId="4094CDE4" w14:textId="77777777" w:rsidR="00C87588" w:rsidRPr="00C2237A" w:rsidRDefault="00C87588" w:rsidP="00C87588">
            <w:pPr>
              <w:spacing w:after="0" w:line="240" w:lineRule="auto"/>
              <w:rPr>
                <w:rFonts w:eastAsia="Times New Roman"/>
                <w:color w:val="000000"/>
                <w:sz w:val="18"/>
                <w:szCs w:val="18"/>
                <w:lang w:eastAsia="sl-SI"/>
              </w:rPr>
            </w:pPr>
            <w:r w:rsidRPr="00C2237A">
              <w:rPr>
                <w:rFonts w:eastAsia="Times New Roman"/>
                <w:color w:val="000000"/>
                <w:sz w:val="18"/>
                <w:szCs w:val="18"/>
                <w:lang w:eastAsia="sl-SI"/>
              </w:rPr>
              <w:t>3.1 Spodbujanje podjetništva</w:t>
            </w:r>
          </w:p>
        </w:tc>
        <w:tc>
          <w:tcPr>
            <w:tcW w:w="1209" w:type="dxa"/>
            <w:tcBorders>
              <w:top w:val="nil"/>
              <w:left w:val="nil"/>
              <w:bottom w:val="single" w:sz="4" w:space="0" w:color="auto"/>
              <w:right w:val="single" w:sz="4" w:space="0" w:color="auto"/>
            </w:tcBorders>
            <w:shd w:val="clear" w:color="auto" w:fill="auto"/>
            <w:noWrap/>
            <w:vAlign w:val="bottom"/>
            <w:hideMark/>
          </w:tcPr>
          <w:p w14:paraId="27AB859D" w14:textId="77777777" w:rsidR="00C87588" w:rsidRPr="00C2237A" w:rsidRDefault="00C87588" w:rsidP="00C87588">
            <w:pPr>
              <w:spacing w:after="0" w:line="240" w:lineRule="auto"/>
              <w:jc w:val="right"/>
              <w:rPr>
                <w:rFonts w:eastAsia="Times New Roman"/>
                <w:color w:val="000000"/>
                <w:sz w:val="18"/>
                <w:szCs w:val="18"/>
                <w:lang w:eastAsia="sl-SI"/>
              </w:rPr>
            </w:pPr>
            <w:r w:rsidRPr="00C2237A">
              <w:rPr>
                <w:rFonts w:eastAsia="Times New Roman"/>
                <w:color w:val="000000"/>
                <w:sz w:val="18"/>
                <w:szCs w:val="18"/>
                <w:lang w:eastAsia="sl-SI"/>
              </w:rPr>
              <w:t>438.047.424</w:t>
            </w:r>
          </w:p>
        </w:tc>
        <w:tc>
          <w:tcPr>
            <w:tcW w:w="1133" w:type="dxa"/>
            <w:tcBorders>
              <w:top w:val="single" w:sz="4" w:space="0" w:color="auto"/>
              <w:left w:val="nil"/>
              <w:bottom w:val="single" w:sz="4" w:space="0" w:color="auto"/>
              <w:right w:val="single" w:sz="4" w:space="0" w:color="auto"/>
            </w:tcBorders>
            <w:shd w:val="clear" w:color="auto" w:fill="auto"/>
            <w:noWrap/>
            <w:vAlign w:val="bottom"/>
            <w:hideMark/>
          </w:tcPr>
          <w:p w14:paraId="7A318D15" w14:textId="77777777" w:rsidR="00C87588" w:rsidRPr="00C2237A" w:rsidRDefault="00C87588" w:rsidP="00C87588">
            <w:pPr>
              <w:spacing w:after="0" w:line="240" w:lineRule="auto"/>
              <w:jc w:val="right"/>
              <w:rPr>
                <w:rFonts w:eastAsia="Times New Roman"/>
                <w:color w:val="000000" w:themeColor="text1"/>
                <w:sz w:val="18"/>
                <w:szCs w:val="18"/>
                <w:lang w:eastAsia="sl-SI"/>
              </w:rPr>
            </w:pPr>
            <w:r w:rsidRPr="00C2237A">
              <w:rPr>
                <w:rFonts w:eastAsia="Times New Roman"/>
                <w:color w:val="000000" w:themeColor="text1"/>
                <w:sz w:val="18"/>
                <w:szCs w:val="18"/>
                <w:lang w:eastAsia="sl-SI"/>
              </w:rPr>
              <w:t> </w:t>
            </w:r>
          </w:p>
        </w:tc>
        <w:tc>
          <w:tcPr>
            <w:tcW w:w="1133" w:type="dxa"/>
            <w:tcBorders>
              <w:top w:val="single" w:sz="4" w:space="0" w:color="auto"/>
              <w:left w:val="nil"/>
              <w:bottom w:val="single" w:sz="4" w:space="0" w:color="auto"/>
              <w:right w:val="single" w:sz="4" w:space="0" w:color="auto"/>
            </w:tcBorders>
            <w:shd w:val="clear" w:color="auto" w:fill="auto"/>
            <w:noWrap/>
            <w:vAlign w:val="bottom"/>
            <w:hideMark/>
          </w:tcPr>
          <w:p w14:paraId="59FE4F8B" w14:textId="77777777" w:rsidR="00C87588" w:rsidRPr="00C2237A" w:rsidRDefault="00C87588" w:rsidP="00C87588">
            <w:pPr>
              <w:spacing w:after="0" w:line="240" w:lineRule="auto"/>
              <w:jc w:val="right"/>
              <w:rPr>
                <w:rFonts w:eastAsia="Times New Roman"/>
                <w:color w:val="000000" w:themeColor="text1"/>
                <w:sz w:val="18"/>
                <w:szCs w:val="18"/>
                <w:lang w:eastAsia="sl-SI"/>
              </w:rPr>
            </w:pPr>
            <w:r w:rsidRPr="00C2237A">
              <w:rPr>
                <w:rFonts w:eastAsia="Times New Roman"/>
                <w:color w:val="000000" w:themeColor="text1"/>
                <w:sz w:val="18"/>
                <w:szCs w:val="18"/>
                <w:lang w:eastAsia="sl-SI"/>
              </w:rPr>
              <w:t>-80.989.950</w:t>
            </w:r>
          </w:p>
        </w:tc>
        <w:tc>
          <w:tcPr>
            <w:tcW w:w="1268" w:type="dxa"/>
            <w:tcBorders>
              <w:top w:val="nil"/>
              <w:left w:val="nil"/>
              <w:bottom w:val="single" w:sz="4" w:space="0" w:color="auto"/>
              <w:right w:val="single" w:sz="4" w:space="0" w:color="auto"/>
            </w:tcBorders>
            <w:shd w:val="clear" w:color="auto" w:fill="auto"/>
            <w:noWrap/>
            <w:vAlign w:val="bottom"/>
            <w:hideMark/>
          </w:tcPr>
          <w:p w14:paraId="0C3E7D83" w14:textId="77777777" w:rsidR="00C87588" w:rsidRPr="00C2237A" w:rsidRDefault="00C87588" w:rsidP="00C87588">
            <w:pPr>
              <w:spacing w:after="0" w:line="240" w:lineRule="auto"/>
              <w:jc w:val="right"/>
              <w:rPr>
                <w:rFonts w:eastAsia="Times New Roman"/>
                <w:b/>
                <w:color w:val="000000"/>
                <w:sz w:val="18"/>
                <w:szCs w:val="18"/>
                <w:lang w:eastAsia="sl-SI"/>
              </w:rPr>
            </w:pPr>
            <w:r w:rsidRPr="00C2237A">
              <w:rPr>
                <w:rFonts w:eastAsia="Times New Roman"/>
                <w:b/>
                <w:color w:val="000000"/>
                <w:sz w:val="18"/>
                <w:szCs w:val="18"/>
                <w:lang w:eastAsia="sl-SI"/>
              </w:rPr>
              <w:t>-80.989.950</w:t>
            </w:r>
          </w:p>
        </w:tc>
        <w:tc>
          <w:tcPr>
            <w:tcW w:w="1408" w:type="dxa"/>
            <w:tcBorders>
              <w:top w:val="nil"/>
              <w:left w:val="nil"/>
              <w:bottom w:val="single" w:sz="4" w:space="0" w:color="auto"/>
              <w:right w:val="single" w:sz="4" w:space="0" w:color="auto"/>
            </w:tcBorders>
            <w:shd w:val="clear" w:color="auto" w:fill="auto"/>
            <w:noWrap/>
            <w:vAlign w:val="bottom"/>
            <w:hideMark/>
          </w:tcPr>
          <w:p w14:paraId="5461C149" w14:textId="77777777" w:rsidR="00C87588" w:rsidRPr="00946CC3" w:rsidRDefault="00C87588" w:rsidP="00C87588">
            <w:pPr>
              <w:spacing w:after="0" w:line="240" w:lineRule="auto"/>
              <w:jc w:val="right"/>
              <w:rPr>
                <w:rFonts w:eastAsia="Times New Roman"/>
                <w:b/>
                <w:color w:val="000000"/>
                <w:sz w:val="18"/>
                <w:szCs w:val="18"/>
                <w:lang w:eastAsia="sl-SI"/>
              </w:rPr>
            </w:pPr>
            <w:r w:rsidRPr="00946CC3">
              <w:rPr>
                <w:rFonts w:eastAsia="Times New Roman"/>
                <w:b/>
                <w:color w:val="000000"/>
                <w:sz w:val="18"/>
                <w:szCs w:val="18"/>
                <w:lang w:eastAsia="sl-SI"/>
              </w:rPr>
              <w:t>357.057.474</w:t>
            </w:r>
          </w:p>
        </w:tc>
      </w:tr>
      <w:tr w:rsidR="00C87588" w:rsidRPr="00C2237A" w14:paraId="5DDEE773" w14:textId="77777777" w:rsidTr="00C87588">
        <w:trPr>
          <w:trHeight w:val="269"/>
        </w:trPr>
        <w:tc>
          <w:tcPr>
            <w:tcW w:w="2391" w:type="dxa"/>
            <w:tcBorders>
              <w:top w:val="nil"/>
              <w:left w:val="single" w:sz="4" w:space="0" w:color="auto"/>
              <w:bottom w:val="single" w:sz="4" w:space="0" w:color="auto"/>
              <w:right w:val="single" w:sz="4" w:space="0" w:color="auto"/>
            </w:tcBorders>
            <w:shd w:val="clear" w:color="auto" w:fill="auto"/>
            <w:vAlign w:val="center"/>
            <w:hideMark/>
          </w:tcPr>
          <w:p w14:paraId="69681E85" w14:textId="77777777" w:rsidR="00C87588" w:rsidRPr="00C2237A" w:rsidRDefault="00C87588" w:rsidP="00C87588">
            <w:pPr>
              <w:spacing w:after="0" w:line="240" w:lineRule="auto"/>
              <w:rPr>
                <w:rFonts w:eastAsia="Times New Roman"/>
                <w:color w:val="000000"/>
                <w:sz w:val="18"/>
                <w:szCs w:val="18"/>
                <w:lang w:eastAsia="sl-SI"/>
              </w:rPr>
            </w:pPr>
            <w:r w:rsidRPr="00C2237A">
              <w:rPr>
                <w:rFonts w:eastAsia="Times New Roman"/>
                <w:color w:val="000000"/>
                <w:sz w:val="18"/>
                <w:szCs w:val="18"/>
                <w:lang w:eastAsia="sl-SI"/>
              </w:rPr>
              <w:t xml:space="preserve">4.4 Spodbujanje </w:t>
            </w:r>
            <w:proofErr w:type="spellStart"/>
            <w:r w:rsidRPr="00C2237A">
              <w:rPr>
                <w:rFonts w:eastAsia="Times New Roman"/>
                <w:color w:val="000000"/>
                <w:sz w:val="18"/>
                <w:szCs w:val="18"/>
                <w:lang w:eastAsia="sl-SI"/>
              </w:rPr>
              <w:t>multimodalne</w:t>
            </w:r>
            <w:proofErr w:type="spellEnd"/>
            <w:r w:rsidRPr="00C2237A">
              <w:rPr>
                <w:rFonts w:eastAsia="Times New Roman"/>
                <w:color w:val="000000"/>
                <w:sz w:val="18"/>
                <w:szCs w:val="18"/>
                <w:lang w:eastAsia="sl-SI"/>
              </w:rPr>
              <w:t xml:space="preserve"> urbane mobilnosti</w:t>
            </w:r>
          </w:p>
        </w:tc>
        <w:tc>
          <w:tcPr>
            <w:tcW w:w="1209" w:type="dxa"/>
            <w:tcBorders>
              <w:top w:val="nil"/>
              <w:left w:val="nil"/>
              <w:bottom w:val="single" w:sz="4" w:space="0" w:color="auto"/>
              <w:right w:val="single" w:sz="4" w:space="0" w:color="auto"/>
            </w:tcBorders>
            <w:shd w:val="clear" w:color="auto" w:fill="auto"/>
            <w:noWrap/>
            <w:vAlign w:val="bottom"/>
            <w:hideMark/>
          </w:tcPr>
          <w:p w14:paraId="5A67B2A6" w14:textId="77777777" w:rsidR="00C87588" w:rsidRPr="00B13136" w:rsidRDefault="00C87588" w:rsidP="00C87588">
            <w:pPr>
              <w:spacing w:after="0" w:line="240" w:lineRule="auto"/>
              <w:jc w:val="right"/>
              <w:rPr>
                <w:rFonts w:eastAsia="Times New Roman"/>
                <w:color w:val="000000" w:themeColor="text1"/>
                <w:sz w:val="18"/>
                <w:szCs w:val="18"/>
                <w:lang w:eastAsia="sl-SI"/>
              </w:rPr>
            </w:pPr>
            <w:r w:rsidRPr="00B13136">
              <w:rPr>
                <w:rFonts w:eastAsia="Times New Roman"/>
                <w:color w:val="000000" w:themeColor="text1"/>
                <w:sz w:val="18"/>
                <w:szCs w:val="18"/>
                <w:lang w:eastAsia="sl-SI"/>
              </w:rPr>
              <w:t>4</w:t>
            </w:r>
            <w:r>
              <w:rPr>
                <w:rFonts w:eastAsia="Times New Roman"/>
                <w:color w:val="000000" w:themeColor="text1"/>
                <w:sz w:val="18"/>
                <w:szCs w:val="18"/>
                <w:lang w:eastAsia="sl-SI"/>
              </w:rPr>
              <w:t>9</w:t>
            </w:r>
            <w:r w:rsidRPr="00B13136">
              <w:rPr>
                <w:rFonts w:eastAsia="Times New Roman"/>
                <w:color w:val="000000" w:themeColor="text1"/>
                <w:sz w:val="18"/>
                <w:szCs w:val="18"/>
                <w:lang w:eastAsia="sl-SI"/>
              </w:rPr>
              <w:t>.034.964</w:t>
            </w:r>
          </w:p>
        </w:tc>
        <w:tc>
          <w:tcPr>
            <w:tcW w:w="1133" w:type="dxa"/>
            <w:tcBorders>
              <w:top w:val="single" w:sz="4" w:space="0" w:color="auto"/>
              <w:left w:val="nil"/>
              <w:bottom w:val="single" w:sz="4" w:space="0" w:color="auto"/>
              <w:right w:val="single" w:sz="4" w:space="0" w:color="auto"/>
            </w:tcBorders>
            <w:shd w:val="clear" w:color="auto" w:fill="auto"/>
            <w:noWrap/>
            <w:vAlign w:val="bottom"/>
            <w:hideMark/>
          </w:tcPr>
          <w:p w14:paraId="573D7E71" w14:textId="77777777" w:rsidR="00C87588" w:rsidRPr="00C2237A" w:rsidRDefault="00C87588" w:rsidP="00C87588">
            <w:pPr>
              <w:spacing w:after="0" w:line="240" w:lineRule="auto"/>
              <w:jc w:val="right"/>
              <w:rPr>
                <w:rFonts w:eastAsia="Times New Roman"/>
                <w:color w:val="000000" w:themeColor="text1"/>
                <w:sz w:val="18"/>
                <w:szCs w:val="18"/>
                <w:lang w:eastAsia="sl-SI"/>
              </w:rPr>
            </w:pPr>
            <w:r w:rsidRPr="00C2237A">
              <w:rPr>
                <w:rFonts w:eastAsia="Times New Roman"/>
                <w:color w:val="000000" w:themeColor="text1"/>
                <w:sz w:val="18"/>
                <w:szCs w:val="18"/>
                <w:lang w:eastAsia="sl-SI"/>
              </w:rPr>
              <w:t> </w:t>
            </w:r>
            <w:r>
              <w:rPr>
                <w:rFonts w:eastAsia="Times New Roman"/>
                <w:color w:val="000000" w:themeColor="text1"/>
                <w:sz w:val="18"/>
                <w:szCs w:val="18"/>
                <w:lang w:eastAsia="sl-SI"/>
              </w:rPr>
              <w:t>12.000.000</w:t>
            </w:r>
          </w:p>
        </w:tc>
        <w:tc>
          <w:tcPr>
            <w:tcW w:w="1133" w:type="dxa"/>
            <w:tcBorders>
              <w:top w:val="single" w:sz="4" w:space="0" w:color="auto"/>
              <w:left w:val="nil"/>
              <w:bottom w:val="single" w:sz="4" w:space="0" w:color="auto"/>
              <w:right w:val="single" w:sz="4" w:space="0" w:color="auto"/>
            </w:tcBorders>
            <w:shd w:val="clear" w:color="auto" w:fill="auto"/>
            <w:noWrap/>
            <w:vAlign w:val="bottom"/>
            <w:hideMark/>
          </w:tcPr>
          <w:p w14:paraId="6D28A3B8" w14:textId="77777777" w:rsidR="00C87588" w:rsidRDefault="00C87588" w:rsidP="00C87588">
            <w:pPr>
              <w:spacing w:after="0" w:line="240" w:lineRule="auto"/>
              <w:jc w:val="right"/>
              <w:rPr>
                <w:rFonts w:eastAsia="Times New Roman"/>
                <w:color w:val="000000" w:themeColor="text1"/>
                <w:sz w:val="18"/>
                <w:szCs w:val="18"/>
                <w:lang w:eastAsia="sl-SI"/>
              </w:rPr>
            </w:pPr>
          </w:p>
          <w:p w14:paraId="4B1DAE8C" w14:textId="77777777" w:rsidR="00C87588" w:rsidRPr="00C2237A" w:rsidRDefault="00C87588" w:rsidP="00C87588">
            <w:pPr>
              <w:spacing w:after="0" w:line="240" w:lineRule="auto"/>
              <w:jc w:val="right"/>
              <w:rPr>
                <w:rFonts w:eastAsia="Times New Roman"/>
                <w:color w:val="000000" w:themeColor="text1"/>
                <w:sz w:val="18"/>
                <w:szCs w:val="18"/>
                <w:lang w:eastAsia="sl-SI"/>
              </w:rPr>
            </w:pPr>
            <w:r>
              <w:rPr>
                <w:rFonts w:eastAsia="Times New Roman"/>
                <w:color w:val="000000" w:themeColor="text1"/>
                <w:sz w:val="18"/>
                <w:szCs w:val="18"/>
                <w:lang w:eastAsia="sl-SI"/>
              </w:rPr>
              <w:t>11</w:t>
            </w:r>
            <w:r w:rsidRPr="005525BA">
              <w:rPr>
                <w:rFonts w:eastAsia="Times New Roman"/>
                <w:color w:val="000000" w:themeColor="text1"/>
                <w:sz w:val="18"/>
                <w:szCs w:val="18"/>
                <w:lang w:eastAsia="sl-SI"/>
              </w:rPr>
              <w:t>.007.995</w:t>
            </w:r>
          </w:p>
        </w:tc>
        <w:tc>
          <w:tcPr>
            <w:tcW w:w="1268" w:type="dxa"/>
            <w:tcBorders>
              <w:top w:val="nil"/>
              <w:left w:val="nil"/>
              <w:bottom w:val="single" w:sz="4" w:space="0" w:color="auto"/>
              <w:right w:val="single" w:sz="4" w:space="0" w:color="auto"/>
            </w:tcBorders>
            <w:shd w:val="clear" w:color="auto" w:fill="auto"/>
            <w:noWrap/>
            <w:vAlign w:val="bottom"/>
            <w:hideMark/>
          </w:tcPr>
          <w:p w14:paraId="4CBE0F7E" w14:textId="77777777" w:rsidR="00C87588" w:rsidRPr="00B13136" w:rsidRDefault="00C87588" w:rsidP="00C87588">
            <w:pPr>
              <w:spacing w:after="0" w:line="240" w:lineRule="auto"/>
              <w:jc w:val="right"/>
              <w:rPr>
                <w:rFonts w:eastAsia="Times New Roman"/>
                <w:color w:val="000000" w:themeColor="text1"/>
                <w:sz w:val="18"/>
                <w:szCs w:val="18"/>
                <w:lang w:eastAsia="sl-SI"/>
              </w:rPr>
            </w:pPr>
          </w:p>
          <w:p w14:paraId="32653E6C" w14:textId="77777777" w:rsidR="00C87588" w:rsidRPr="00B13136" w:rsidRDefault="00C87588" w:rsidP="00C87588">
            <w:pPr>
              <w:spacing w:after="0" w:line="240" w:lineRule="auto"/>
              <w:jc w:val="right"/>
              <w:rPr>
                <w:rFonts w:eastAsia="Times New Roman"/>
                <w:color w:val="000000" w:themeColor="text1"/>
                <w:sz w:val="18"/>
                <w:szCs w:val="18"/>
                <w:lang w:eastAsia="sl-SI"/>
              </w:rPr>
            </w:pPr>
            <w:r w:rsidRPr="00B13136">
              <w:rPr>
                <w:rFonts w:eastAsia="Times New Roman"/>
                <w:color w:val="000000" w:themeColor="text1"/>
                <w:sz w:val="18"/>
                <w:szCs w:val="18"/>
                <w:lang w:eastAsia="sl-SI"/>
              </w:rPr>
              <w:t>23.007.995</w:t>
            </w:r>
          </w:p>
        </w:tc>
        <w:tc>
          <w:tcPr>
            <w:tcW w:w="1408" w:type="dxa"/>
            <w:tcBorders>
              <w:top w:val="nil"/>
              <w:left w:val="nil"/>
              <w:bottom w:val="single" w:sz="4" w:space="0" w:color="auto"/>
              <w:right w:val="single" w:sz="4" w:space="0" w:color="auto"/>
            </w:tcBorders>
            <w:shd w:val="clear" w:color="auto" w:fill="auto"/>
            <w:noWrap/>
            <w:vAlign w:val="bottom"/>
            <w:hideMark/>
          </w:tcPr>
          <w:p w14:paraId="7118936B" w14:textId="77777777" w:rsidR="00C87588" w:rsidRPr="00946CC3" w:rsidRDefault="00C87588" w:rsidP="00C87588">
            <w:pPr>
              <w:spacing w:after="0" w:line="240" w:lineRule="auto"/>
              <w:jc w:val="right"/>
              <w:rPr>
                <w:rFonts w:eastAsia="Times New Roman"/>
                <w:b/>
                <w:color w:val="000000" w:themeColor="text1"/>
                <w:sz w:val="18"/>
                <w:szCs w:val="18"/>
                <w:lang w:eastAsia="sl-SI"/>
              </w:rPr>
            </w:pPr>
          </w:p>
          <w:p w14:paraId="56DC5612" w14:textId="77777777" w:rsidR="00C87588" w:rsidRPr="00946CC3" w:rsidRDefault="00C87588" w:rsidP="00C87588">
            <w:pPr>
              <w:jc w:val="right"/>
              <w:rPr>
                <w:rFonts w:eastAsia="Times New Roman"/>
                <w:b/>
                <w:color w:val="000000" w:themeColor="text1"/>
                <w:sz w:val="18"/>
                <w:szCs w:val="18"/>
                <w:lang w:eastAsia="sl-SI"/>
              </w:rPr>
            </w:pPr>
            <w:r w:rsidRPr="00946CC3">
              <w:rPr>
                <w:rFonts w:eastAsia="Times New Roman"/>
                <w:b/>
                <w:color w:val="000000" w:themeColor="text1"/>
                <w:sz w:val="18"/>
                <w:szCs w:val="18"/>
                <w:lang w:eastAsia="sl-SI"/>
              </w:rPr>
              <w:t>7</w:t>
            </w:r>
            <w:r>
              <w:rPr>
                <w:rFonts w:eastAsia="Times New Roman"/>
                <w:b/>
                <w:color w:val="000000" w:themeColor="text1"/>
                <w:sz w:val="18"/>
                <w:szCs w:val="18"/>
                <w:lang w:eastAsia="sl-SI"/>
              </w:rPr>
              <w:t>2</w:t>
            </w:r>
            <w:r w:rsidRPr="00946CC3">
              <w:rPr>
                <w:rFonts w:eastAsia="Times New Roman"/>
                <w:b/>
                <w:color w:val="000000" w:themeColor="text1"/>
                <w:sz w:val="18"/>
                <w:szCs w:val="18"/>
                <w:lang w:eastAsia="sl-SI"/>
              </w:rPr>
              <w:t>.042.959</w:t>
            </w:r>
          </w:p>
        </w:tc>
      </w:tr>
      <w:tr w:rsidR="00C87588" w:rsidRPr="00C2237A" w14:paraId="4AECCC87" w14:textId="77777777" w:rsidTr="00C87588">
        <w:trPr>
          <w:trHeight w:val="480"/>
        </w:trPr>
        <w:tc>
          <w:tcPr>
            <w:tcW w:w="2391" w:type="dxa"/>
            <w:tcBorders>
              <w:top w:val="nil"/>
              <w:left w:val="single" w:sz="4" w:space="0" w:color="auto"/>
              <w:bottom w:val="single" w:sz="4" w:space="0" w:color="auto"/>
              <w:right w:val="single" w:sz="4" w:space="0" w:color="auto"/>
            </w:tcBorders>
            <w:shd w:val="clear" w:color="000000" w:fill="FFFFFF"/>
            <w:vAlign w:val="center"/>
            <w:hideMark/>
          </w:tcPr>
          <w:p w14:paraId="4B620ABB" w14:textId="77777777" w:rsidR="00C87588" w:rsidRPr="00C2237A" w:rsidRDefault="00C87588" w:rsidP="00C87588">
            <w:pPr>
              <w:spacing w:after="0" w:line="240" w:lineRule="auto"/>
              <w:rPr>
                <w:rFonts w:eastAsia="Times New Roman"/>
                <w:color w:val="000000"/>
                <w:sz w:val="18"/>
                <w:szCs w:val="18"/>
                <w:lang w:eastAsia="sl-SI"/>
              </w:rPr>
            </w:pPr>
            <w:r w:rsidRPr="00C2237A">
              <w:rPr>
                <w:rFonts w:eastAsia="Times New Roman"/>
                <w:color w:val="000000"/>
                <w:sz w:val="18"/>
                <w:szCs w:val="18"/>
                <w:lang w:eastAsia="sl-SI"/>
              </w:rPr>
              <w:t>5.1 Podpora naložbam za prilagajanje podnebnim spremembam</w:t>
            </w:r>
          </w:p>
        </w:tc>
        <w:tc>
          <w:tcPr>
            <w:tcW w:w="1209" w:type="dxa"/>
            <w:tcBorders>
              <w:top w:val="nil"/>
              <w:left w:val="nil"/>
              <w:bottom w:val="single" w:sz="4" w:space="0" w:color="auto"/>
              <w:right w:val="single" w:sz="4" w:space="0" w:color="auto"/>
            </w:tcBorders>
            <w:shd w:val="clear" w:color="000000" w:fill="FFFFFF"/>
            <w:noWrap/>
            <w:vAlign w:val="bottom"/>
            <w:hideMark/>
          </w:tcPr>
          <w:p w14:paraId="0B428D9D" w14:textId="77777777" w:rsidR="00C87588" w:rsidRPr="00C2237A" w:rsidRDefault="00C87588" w:rsidP="00C87588">
            <w:pPr>
              <w:spacing w:after="0" w:line="240" w:lineRule="auto"/>
              <w:jc w:val="right"/>
              <w:rPr>
                <w:rFonts w:eastAsia="Times New Roman"/>
                <w:color w:val="000000"/>
                <w:sz w:val="18"/>
                <w:szCs w:val="18"/>
                <w:lang w:eastAsia="sl-SI"/>
              </w:rPr>
            </w:pPr>
            <w:r w:rsidRPr="00C2237A">
              <w:rPr>
                <w:rFonts w:eastAsia="Times New Roman"/>
                <w:color w:val="000000"/>
                <w:sz w:val="18"/>
                <w:szCs w:val="18"/>
                <w:lang w:eastAsia="sl-SI"/>
              </w:rPr>
              <w:t>83.021.932</w:t>
            </w:r>
          </w:p>
        </w:tc>
        <w:tc>
          <w:tcPr>
            <w:tcW w:w="1133" w:type="dxa"/>
            <w:tcBorders>
              <w:top w:val="single" w:sz="4" w:space="0" w:color="auto"/>
              <w:left w:val="nil"/>
              <w:bottom w:val="single" w:sz="4" w:space="0" w:color="auto"/>
              <w:right w:val="single" w:sz="4" w:space="0" w:color="auto"/>
            </w:tcBorders>
            <w:shd w:val="clear" w:color="auto" w:fill="auto"/>
            <w:noWrap/>
            <w:vAlign w:val="bottom"/>
            <w:hideMark/>
          </w:tcPr>
          <w:p w14:paraId="133F862C" w14:textId="77777777" w:rsidR="00C87588" w:rsidRPr="00C2237A" w:rsidRDefault="00C87588" w:rsidP="00C87588">
            <w:pPr>
              <w:spacing w:after="0" w:line="240" w:lineRule="auto"/>
              <w:jc w:val="right"/>
              <w:rPr>
                <w:rFonts w:eastAsia="Times New Roman"/>
                <w:color w:val="000000" w:themeColor="text1"/>
                <w:sz w:val="18"/>
                <w:szCs w:val="18"/>
                <w:lang w:eastAsia="sl-SI"/>
              </w:rPr>
            </w:pPr>
            <w:r w:rsidRPr="00C2237A">
              <w:rPr>
                <w:rFonts w:eastAsia="Times New Roman"/>
                <w:color w:val="000000" w:themeColor="text1"/>
                <w:sz w:val="18"/>
                <w:szCs w:val="18"/>
                <w:lang w:eastAsia="sl-SI"/>
              </w:rPr>
              <w:t>7.000.000</w:t>
            </w:r>
          </w:p>
        </w:tc>
        <w:tc>
          <w:tcPr>
            <w:tcW w:w="1133" w:type="dxa"/>
            <w:tcBorders>
              <w:top w:val="single" w:sz="4" w:space="0" w:color="auto"/>
              <w:left w:val="nil"/>
              <w:bottom w:val="single" w:sz="4" w:space="0" w:color="auto"/>
              <w:right w:val="single" w:sz="4" w:space="0" w:color="auto"/>
            </w:tcBorders>
            <w:shd w:val="clear" w:color="auto" w:fill="auto"/>
            <w:noWrap/>
            <w:vAlign w:val="bottom"/>
            <w:hideMark/>
          </w:tcPr>
          <w:p w14:paraId="070AFA10" w14:textId="77777777" w:rsidR="00C87588" w:rsidRPr="00C2237A" w:rsidRDefault="00C87588" w:rsidP="00C87588">
            <w:pPr>
              <w:spacing w:after="0" w:line="240" w:lineRule="auto"/>
              <w:jc w:val="right"/>
              <w:rPr>
                <w:rFonts w:eastAsia="Times New Roman"/>
                <w:color w:val="000000" w:themeColor="text1"/>
                <w:sz w:val="18"/>
                <w:szCs w:val="18"/>
                <w:lang w:eastAsia="sl-SI"/>
              </w:rPr>
            </w:pPr>
            <w:r w:rsidRPr="00C2237A">
              <w:rPr>
                <w:rFonts w:eastAsia="Times New Roman"/>
                <w:color w:val="000000" w:themeColor="text1"/>
                <w:sz w:val="18"/>
                <w:szCs w:val="18"/>
                <w:lang w:eastAsia="sl-SI"/>
              </w:rPr>
              <w:t>0</w:t>
            </w:r>
          </w:p>
        </w:tc>
        <w:tc>
          <w:tcPr>
            <w:tcW w:w="1268" w:type="dxa"/>
            <w:tcBorders>
              <w:top w:val="nil"/>
              <w:left w:val="nil"/>
              <w:bottom w:val="single" w:sz="4" w:space="0" w:color="auto"/>
              <w:right w:val="single" w:sz="4" w:space="0" w:color="auto"/>
            </w:tcBorders>
            <w:shd w:val="clear" w:color="auto" w:fill="auto"/>
            <w:noWrap/>
            <w:vAlign w:val="bottom"/>
            <w:hideMark/>
          </w:tcPr>
          <w:p w14:paraId="4B27F481" w14:textId="77777777" w:rsidR="00C87588" w:rsidRPr="00C2237A" w:rsidRDefault="00C87588" w:rsidP="00C87588">
            <w:pPr>
              <w:spacing w:after="0" w:line="240" w:lineRule="auto"/>
              <w:jc w:val="right"/>
              <w:rPr>
                <w:rFonts w:eastAsia="Times New Roman"/>
                <w:b/>
                <w:color w:val="000000"/>
                <w:sz w:val="18"/>
                <w:szCs w:val="18"/>
                <w:lang w:eastAsia="sl-SI"/>
              </w:rPr>
            </w:pPr>
            <w:r w:rsidRPr="00C2237A">
              <w:rPr>
                <w:rFonts w:eastAsia="Times New Roman"/>
                <w:b/>
                <w:color w:val="000000"/>
                <w:sz w:val="18"/>
                <w:szCs w:val="18"/>
                <w:lang w:eastAsia="sl-SI"/>
              </w:rPr>
              <w:t>7.000.000</w:t>
            </w:r>
          </w:p>
        </w:tc>
        <w:tc>
          <w:tcPr>
            <w:tcW w:w="1408" w:type="dxa"/>
            <w:tcBorders>
              <w:top w:val="nil"/>
              <w:left w:val="nil"/>
              <w:bottom w:val="single" w:sz="4" w:space="0" w:color="auto"/>
              <w:right w:val="single" w:sz="4" w:space="0" w:color="auto"/>
            </w:tcBorders>
            <w:shd w:val="clear" w:color="auto" w:fill="auto"/>
            <w:noWrap/>
            <w:vAlign w:val="bottom"/>
            <w:hideMark/>
          </w:tcPr>
          <w:p w14:paraId="56DBD7A6" w14:textId="77777777" w:rsidR="00C87588" w:rsidRPr="00946CC3" w:rsidRDefault="00C87588" w:rsidP="00C87588">
            <w:pPr>
              <w:spacing w:after="0" w:line="240" w:lineRule="auto"/>
              <w:jc w:val="right"/>
              <w:rPr>
                <w:rFonts w:eastAsia="Times New Roman"/>
                <w:b/>
                <w:color w:val="000000"/>
                <w:sz w:val="18"/>
                <w:szCs w:val="18"/>
                <w:lang w:eastAsia="sl-SI"/>
              </w:rPr>
            </w:pPr>
            <w:r w:rsidRPr="00946CC3">
              <w:rPr>
                <w:rFonts w:eastAsia="Times New Roman"/>
                <w:b/>
                <w:color w:val="000000"/>
                <w:sz w:val="18"/>
                <w:szCs w:val="18"/>
                <w:lang w:eastAsia="sl-SI"/>
              </w:rPr>
              <w:t>90.021.932</w:t>
            </w:r>
          </w:p>
        </w:tc>
      </w:tr>
      <w:tr w:rsidR="00C87588" w:rsidRPr="00C2237A" w14:paraId="5C996648" w14:textId="77777777" w:rsidTr="00C87588">
        <w:trPr>
          <w:trHeight w:val="290"/>
        </w:trPr>
        <w:tc>
          <w:tcPr>
            <w:tcW w:w="2391" w:type="dxa"/>
            <w:tcBorders>
              <w:top w:val="nil"/>
              <w:left w:val="single" w:sz="4" w:space="0" w:color="auto"/>
              <w:bottom w:val="single" w:sz="4" w:space="0" w:color="auto"/>
              <w:right w:val="single" w:sz="4" w:space="0" w:color="auto"/>
            </w:tcBorders>
            <w:shd w:val="clear" w:color="000000" w:fill="FFFFFF"/>
            <w:vAlign w:val="center"/>
            <w:hideMark/>
          </w:tcPr>
          <w:p w14:paraId="796F2CFC" w14:textId="77777777" w:rsidR="00C87588" w:rsidRPr="00C2237A" w:rsidRDefault="00C87588" w:rsidP="00C87588">
            <w:pPr>
              <w:spacing w:after="0" w:line="240" w:lineRule="auto"/>
              <w:rPr>
                <w:rFonts w:eastAsia="Times New Roman"/>
                <w:color w:val="000000"/>
                <w:sz w:val="18"/>
                <w:szCs w:val="18"/>
                <w:lang w:eastAsia="sl-SI"/>
              </w:rPr>
            </w:pPr>
            <w:r w:rsidRPr="00C2237A">
              <w:rPr>
                <w:rFonts w:eastAsia="Times New Roman"/>
                <w:color w:val="000000"/>
                <w:sz w:val="18"/>
                <w:szCs w:val="18"/>
                <w:lang w:eastAsia="sl-SI"/>
              </w:rPr>
              <w:t xml:space="preserve">6.1 Vlaganje v vodni sektor </w:t>
            </w:r>
          </w:p>
        </w:tc>
        <w:tc>
          <w:tcPr>
            <w:tcW w:w="1209" w:type="dxa"/>
            <w:tcBorders>
              <w:top w:val="nil"/>
              <w:left w:val="nil"/>
              <w:bottom w:val="single" w:sz="4" w:space="0" w:color="auto"/>
              <w:right w:val="single" w:sz="4" w:space="0" w:color="auto"/>
            </w:tcBorders>
            <w:shd w:val="clear" w:color="000000" w:fill="FFFFFF"/>
            <w:noWrap/>
            <w:vAlign w:val="bottom"/>
            <w:hideMark/>
          </w:tcPr>
          <w:p w14:paraId="391DA680" w14:textId="77777777" w:rsidR="00C87588" w:rsidRPr="00C2237A" w:rsidRDefault="00C87588" w:rsidP="00C87588">
            <w:pPr>
              <w:spacing w:after="0" w:line="240" w:lineRule="auto"/>
              <w:jc w:val="right"/>
              <w:rPr>
                <w:rFonts w:eastAsia="Times New Roman"/>
                <w:color w:val="000000"/>
                <w:sz w:val="18"/>
                <w:szCs w:val="18"/>
                <w:lang w:eastAsia="sl-SI"/>
              </w:rPr>
            </w:pPr>
            <w:r w:rsidRPr="00C2237A">
              <w:rPr>
                <w:rFonts w:eastAsia="Times New Roman"/>
                <w:color w:val="000000"/>
                <w:sz w:val="18"/>
                <w:szCs w:val="18"/>
                <w:lang w:eastAsia="sl-SI"/>
              </w:rPr>
              <w:t>264.111.315</w:t>
            </w:r>
          </w:p>
        </w:tc>
        <w:tc>
          <w:tcPr>
            <w:tcW w:w="1133" w:type="dxa"/>
            <w:tcBorders>
              <w:top w:val="single" w:sz="4" w:space="0" w:color="auto"/>
              <w:left w:val="nil"/>
              <w:bottom w:val="single" w:sz="4" w:space="0" w:color="auto"/>
              <w:right w:val="single" w:sz="4" w:space="0" w:color="auto"/>
            </w:tcBorders>
            <w:shd w:val="clear" w:color="auto" w:fill="auto"/>
            <w:noWrap/>
            <w:vAlign w:val="bottom"/>
            <w:hideMark/>
          </w:tcPr>
          <w:p w14:paraId="41894601" w14:textId="77777777" w:rsidR="00C87588" w:rsidRPr="00C2237A" w:rsidRDefault="00C87588" w:rsidP="00C87588">
            <w:pPr>
              <w:spacing w:after="0" w:line="240" w:lineRule="auto"/>
              <w:jc w:val="right"/>
              <w:rPr>
                <w:rFonts w:eastAsia="Times New Roman"/>
                <w:color w:val="000000" w:themeColor="text1"/>
                <w:sz w:val="18"/>
                <w:szCs w:val="18"/>
                <w:lang w:eastAsia="sl-SI"/>
              </w:rPr>
            </w:pPr>
            <w:r w:rsidRPr="00C2237A">
              <w:rPr>
                <w:rFonts w:eastAsia="Times New Roman"/>
                <w:color w:val="000000" w:themeColor="text1"/>
                <w:sz w:val="18"/>
                <w:szCs w:val="18"/>
                <w:lang w:eastAsia="sl-SI"/>
              </w:rPr>
              <w:t>25.968.996</w:t>
            </w:r>
          </w:p>
        </w:tc>
        <w:tc>
          <w:tcPr>
            <w:tcW w:w="1133" w:type="dxa"/>
            <w:tcBorders>
              <w:top w:val="single" w:sz="4" w:space="0" w:color="auto"/>
              <w:left w:val="nil"/>
              <w:bottom w:val="single" w:sz="4" w:space="0" w:color="auto"/>
              <w:right w:val="single" w:sz="4" w:space="0" w:color="auto"/>
            </w:tcBorders>
            <w:shd w:val="clear" w:color="auto" w:fill="auto"/>
            <w:noWrap/>
            <w:vAlign w:val="bottom"/>
            <w:hideMark/>
          </w:tcPr>
          <w:p w14:paraId="4A4F7578" w14:textId="77777777" w:rsidR="00C87588" w:rsidRPr="00C2237A" w:rsidRDefault="00C87588" w:rsidP="00C87588">
            <w:pPr>
              <w:spacing w:after="0" w:line="240" w:lineRule="auto"/>
              <w:jc w:val="right"/>
              <w:rPr>
                <w:rFonts w:eastAsia="Times New Roman"/>
                <w:color w:val="000000" w:themeColor="text1"/>
                <w:sz w:val="18"/>
                <w:szCs w:val="18"/>
                <w:lang w:eastAsia="sl-SI"/>
              </w:rPr>
            </w:pPr>
            <w:r w:rsidRPr="00C2237A">
              <w:rPr>
                <w:rFonts w:eastAsia="Times New Roman"/>
                <w:color w:val="000000" w:themeColor="text1"/>
                <w:sz w:val="18"/>
                <w:szCs w:val="18"/>
                <w:lang w:eastAsia="sl-SI"/>
              </w:rPr>
              <w:t>10.000.000</w:t>
            </w:r>
          </w:p>
        </w:tc>
        <w:tc>
          <w:tcPr>
            <w:tcW w:w="1268" w:type="dxa"/>
            <w:tcBorders>
              <w:top w:val="nil"/>
              <w:left w:val="nil"/>
              <w:bottom w:val="single" w:sz="4" w:space="0" w:color="auto"/>
              <w:right w:val="single" w:sz="4" w:space="0" w:color="auto"/>
            </w:tcBorders>
            <w:shd w:val="clear" w:color="auto" w:fill="auto"/>
            <w:noWrap/>
            <w:vAlign w:val="bottom"/>
            <w:hideMark/>
          </w:tcPr>
          <w:p w14:paraId="655A6604" w14:textId="77777777" w:rsidR="00C87588" w:rsidRPr="00C2237A" w:rsidRDefault="00C87588" w:rsidP="00C87588">
            <w:pPr>
              <w:spacing w:after="0" w:line="240" w:lineRule="auto"/>
              <w:jc w:val="right"/>
              <w:rPr>
                <w:rFonts w:eastAsia="Times New Roman"/>
                <w:b/>
                <w:color w:val="000000"/>
                <w:sz w:val="18"/>
                <w:szCs w:val="18"/>
                <w:lang w:eastAsia="sl-SI"/>
              </w:rPr>
            </w:pPr>
            <w:r w:rsidRPr="00C2237A">
              <w:rPr>
                <w:rFonts w:eastAsia="Times New Roman"/>
                <w:b/>
                <w:color w:val="000000"/>
                <w:sz w:val="18"/>
                <w:szCs w:val="18"/>
                <w:lang w:eastAsia="sl-SI"/>
              </w:rPr>
              <w:t>35.968.996</w:t>
            </w:r>
          </w:p>
        </w:tc>
        <w:tc>
          <w:tcPr>
            <w:tcW w:w="1408" w:type="dxa"/>
            <w:tcBorders>
              <w:top w:val="nil"/>
              <w:left w:val="nil"/>
              <w:bottom w:val="single" w:sz="4" w:space="0" w:color="auto"/>
              <w:right w:val="single" w:sz="4" w:space="0" w:color="auto"/>
            </w:tcBorders>
            <w:shd w:val="clear" w:color="auto" w:fill="auto"/>
            <w:noWrap/>
            <w:vAlign w:val="bottom"/>
            <w:hideMark/>
          </w:tcPr>
          <w:p w14:paraId="58089718" w14:textId="77777777" w:rsidR="00C87588" w:rsidRPr="00946CC3" w:rsidRDefault="00C87588" w:rsidP="00C87588">
            <w:pPr>
              <w:spacing w:after="0" w:line="240" w:lineRule="auto"/>
              <w:jc w:val="right"/>
              <w:rPr>
                <w:rFonts w:eastAsia="Times New Roman"/>
                <w:b/>
                <w:color w:val="000000"/>
                <w:sz w:val="18"/>
                <w:szCs w:val="18"/>
                <w:lang w:eastAsia="sl-SI"/>
              </w:rPr>
            </w:pPr>
            <w:r w:rsidRPr="00946CC3">
              <w:rPr>
                <w:rFonts w:eastAsia="Times New Roman"/>
                <w:b/>
                <w:color w:val="000000"/>
                <w:sz w:val="18"/>
                <w:szCs w:val="18"/>
                <w:lang w:eastAsia="sl-SI"/>
              </w:rPr>
              <w:t>300.080.311</w:t>
            </w:r>
          </w:p>
        </w:tc>
      </w:tr>
      <w:tr w:rsidR="00C87588" w:rsidRPr="00C2237A" w14:paraId="322793C3" w14:textId="77777777" w:rsidTr="00C87588">
        <w:trPr>
          <w:trHeight w:val="290"/>
        </w:trPr>
        <w:tc>
          <w:tcPr>
            <w:tcW w:w="2391" w:type="dxa"/>
            <w:tcBorders>
              <w:top w:val="nil"/>
              <w:left w:val="single" w:sz="4" w:space="0" w:color="auto"/>
              <w:bottom w:val="single" w:sz="4" w:space="0" w:color="auto"/>
              <w:right w:val="single" w:sz="4" w:space="0" w:color="auto"/>
            </w:tcBorders>
            <w:shd w:val="clear" w:color="000000" w:fill="FFFFFF"/>
            <w:vAlign w:val="center"/>
            <w:hideMark/>
          </w:tcPr>
          <w:p w14:paraId="03F5CDF3" w14:textId="77777777" w:rsidR="00C87588" w:rsidRPr="00C2237A" w:rsidRDefault="00C87588" w:rsidP="00C87588">
            <w:pPr>
              <w:spacing w:after="0" w:line="240" w:lineRule="auto"/>
              <w:rPr>
                <w:rFonts w:eastAsia="Times New Roman"/>
                <w:color w:val="000000"/>
                <w:sz w:val="18"/>
                <w:szCs w:val="18"/>
                <w:lang w:eastAsia="sl-SI"/>
              </w:rPr>
            </w:pPr>
            <w:r w:rsidRPr="00C2237A">
              <w:rPr>
                <w:rFonts w:eastAsia="Times New Roman"/>
                <w:color w:val="000000"/>
                <w:sz w:val="18"/>
                <w:szCs w:val="18"/>
                <w:lang w:eastAsia="sl-SI"/>
              </w:rPr>
              <w:t xml:space="preserve">7.1 Razvoj in obnova celostnih, železniških sistemov </w:t>
            </w:r>
          </w:p>
        </w:tc>
        <w:tc>
          <w:tcPr>
            <w:tcW w:w="1209" w:type="dxa"/>
            <w:tcBorders>
              <w:top w:val="nil"/>
              <w:left w:val="nil"/>
              <w:bottom w:val="single" w:sz="4" w:space="0" w:color="auto"/>
              <w:right w:val="single" w:sz="4" w:space="0" w:color="auto"/>
            </w:tcBorders>
            <w:shd w:val="clear" w:color="000000" w:fill="FFFFFF"/>
            <w:noWrap/>
            <w:vAlign w:val="bottom"/>
            <w:hideMark/>
          </w:tcPr>
          <w:p w14:paraId="07EA8513" w14:textId="77777777" w:rsidR="00C87588" w:rsidRPr="00C2237A" w:rsidRDefault="00C87588" w:rsidP="00C87588">
            <w:pPr>
              <w:spacing w:after="0" w:line="240" w:lineRule="auto"/>
              <w:jc w:val="right"/>
              <w:rPr>
                <w:rFonts w:eastAsia="Times New Roman"/>
                <w:color w:val="000000"/>
                <w:sz w:val="18"/>
                <w:szCs w:val="18"/>
                <w:lang w:eastAsia="sl-SI"/>
              </w:rPr>
            </w:pPr>
            <w:r>
              <w:rPr>
                <w:rFonts w:eastAsia="Times New Roman"/>
                <w:color w:val="000000"/>
                <w:sz w:val="18"/>
                <w:szCs w:val="18"/>
                <w:lang w:eastAsia="sl-SI"/>
              </w:rPr>
              <w:t xml:space="preserve"> 153.100.000</w:t>
            </w:r>
          </w:p>
        </w:tc>
        <w:tc>
          <w:tcPr>
            <w:tcW w:w="1133" w:type="dxa"/>
            <w:tcBorders>
              <w:top w:val="single" w:sz="4" w:space="0" w:color="auto"/>
              <w:left w:val="nil"/>
              <w:bottom w:val="single" w:sz="4" w:space="0" w:color="auto"/>
              <w:right w:val="single" w:sz="4" w:space="0" w:color="auto"/>
            </w:tcBorders>
            <w:shd w:val="clear" w:color="000000" w:fill="FFFFFF"/>
            <w:noWrap/>
            <w:vAlign w:val="bottom"/>
            <w:hideMark/>
          </w:tcPr>
          <w:p w14:paraId="4AFFDA4E" w14:textId="77777777" w:rsidR="00C87588" w:rsidRPr="00C2237A" w:rsidRDefault="00C87588" w:rsidP="00C87588">
            <w:pPr>
              <w:spacing w:after="0" w:line="240" w:lineRule="auto"/>
              <w:jc w:val="right"/>
              <w:rPr>
                <w:rFonts w:eastAsia="Times New Roman"/>
                <w:color w:val="000000" w:themeColor="text1"/>
                <w:sz w:val="18"/>
                <w:szCs w:val="18"/>
                <w:lang w:eastAsia="sl-SI"/>
              </w:rPr>
            </w:pPr>
            <w:r w:rsidRPr="00C2237A">
              <w:rPr>
                <w:rFonts w:eastAsia="Times New Roman"/>
                <w:color w:val="000000" w:themeColor="text1"/>
                <w:sz w:val="18"/>
                <w:szCs w:val="18"/>
                <w:lang w:eastAsia="sl-SI"/>
              </w:rPr>
              <w:t> </w:t>
            </w:r>
          </w:p>
        </w:tc>
        <w:tc>
          <w:tcPr>
            <w:tcW w:w="1133" w:type="dxa"/>
            <w:tcBorders>
              <w:top w:val="single" w:sz="4" w:space="0" w:color="auto"/>
              <w:left w:val="nil"/>
              <w:bottom w:val="single" w:sz="4" w:space="0" w:color="auto"/>
              <w:right w:val="single" w:sz="4" w:space="0" w:color="auto"/>
            </w:tcBorders>
            <w:shd w:val="clear" w:color="auto" w:fill="auto"/>
            <w:noWrap/>
            <w:vAlign w:val="bottom"/>
            <w:hideMark/>
          </w:tcPr>
          <w:p w14:paraId="5466C936" w14:textId="77777777" w:rsidR="00C87588" w:rsidRPr="00C2237A" w:rsidRDefault="00C87588" w:rsidP="00C87588">
            <w:pPr>
              <w:spacing w:after="0" w:line="240" w:lineRule="auto"/>
              <w:jc w:val="right"/>
              <w:rPr>
                <w:rFonts w:eastAsia="Times New Roman"/>
                <w:color w:val="000000" w:themeColor="text1"/>
                <w:sz w:val="18"/>
                <w:szCs w:val="18"/>
                <w:lang w:eastAsia="sl-SI"/>
              </w:rPr>
            </w:pPr>
            <w:r>
              <w:rPr>
                <w:rFonts w:eastAsia="Times New Roman"/>
                <w:color w:val="000000" w:themeColor="text1"/>
                <w:sz w:val="18"/>
                <w:szCs w:val="18"/>
                <w:lang w:eastAsia="sl-SI"/>
              </w:rPr>
              <w:t xml:space="preserve"> 44.900.000</w:t>
            </w:r>
          </w:p>
        </w:tc>
        <w:tc>
          <w:tcPr>
            <w:tcW w:w="1268" w:type="dxa"/>
            <w:tcBorders>
              <w:top w:val="nil"/>
              <w:left w:val="nil"/>
              <w:bottom w:val="single" w:sz="4" w:space="0" w:color="auto"/>
              <w:right w:val="single" w:sz="4" w:space="0" w:color="auto"/>
            </w:tcBorders>
            <w:shd w:val="clear" w:color="auto" w:fill="auto"/>
            <w:noWrap/>
            <w:vAlign w:val="bottom"/>
            <w:hideMark/>
          </w:tcPr>
          <w:p w14:paraId="06420585" w14:textId="77777777" w:rsidR="00C87588" w:rsidRPr="00C2237A" w:rsidRDefault="00C87588" w:rsidP="00C87588">
            <w:pPr>
              <w:spacing w:after="0" w:line="240" w:lineRule="auto"/>
              <w:jc w:val="right"/>
              <w:rPr>
                <w:rFonts w:eastAsia="Times New Roman"/>
                <w:b/>
                <w:color w:val="000000"/>
                <w:sz w:val="18"/>
                <w:szCs w:val="18"/>
                <w:lang w:eastAsia="sl-SI"/>
              </w:rPr>
            </w:pPr>
            <w:r>
              <w:rPr>
                <w:rFonts w:eastAsia="Times New Roman"/>
                <w:b/>
                <w:color w:val="000000"/>
                <w:sz w:val="18"/>
                <w:szCs w:val="18"/>
                <w:lang w:eastAsia="sl-SI"/>
              </w:rPr>
              <w:t xml:space="preserve"> 44.900.000</w:t>
            </w:r>
          </w:p>
        </w:tc>
        <w:tc>
          <w:tcPr>
            <w:tcW w:w="1408" w:type="dxa"/>
            <w:tcBorders>
              <w:top w:val="nil"/>
              <w:left w:val="nil"/>
              <w:bottom w:val="single" w:sz="4" w:space="0" w:color="auto"/>
              <w:right w:val="single" w:sz="4" w:space="0" w:color="auto"/>
            </w:tcBorders>
            <w:shd w:val="clear" w:color="auto" w:fill="auto"/>
            <w:noWrap/>
            <w:vAlign w:val="bottom"/>
            <w:hideMark/>
          </w:tcPr>
          <w:p w14:paraId="2DDA7E2F" w14:textId="77777777" w:rsidR="00C87588" w:rsidRPr="00946CC3" w:rsidRDefault="00C87588" w:rsidP="00C87588">
            <w:pPr>
              <w:spacing w:after="0" w:line="240" w:lineRule="auto"/>
              <w:jc w:val="right"/>
              <w:rPr>
                <w:rFonts w:eastAsia="Times New Roman"/>
                <w:b/>
                <w:color w:val="000000"/>
                <w:sz w:val="18"/>
                <w:szCs w:val="18"/>
                <w:lang w:eastAsia="sl-SI"/>
              </w:rPr>
            </w:pPr>
            <w:r>
              <w:rPr>
                <w:rFonts w:eastAsia="Times New Roman"/>
                <w:b/>
                <w:color w:val="000000"/>
                <w:sz w:val="18"/>
                <w:szCs w:val="18"/>
                <w:lang w:eastAsia="sl-SI"/>
              </w:rPr>
              <w:t xml:space="preserve"> 198.000.000</w:t>
            </w:r>
          </w:p>
        </w:tc>
      </w:tr>
      <w:tr w:rsidR="00C87588" w:rsidRPr="00C2237A" w14:paraId="0D4FFF92" w14:textId="77777777" w:rsidTr="00C87588">
        <w:trPr>
          <w:trHeight w:val="231"/>
        </w:trPr>
        <w:tc>
          <w:tcPr>
            <w:tcW w:w="2391" w:type="dxa"/>
            <w:tcBorders>
              <w:top w:val="nil"/>
              <w:left w:val="single" w:sz="4" w:space="0" w:color="auto"/>
              <w:bottom w:val="single" w:sz="4" w:space="0" w:color="auto"/>
              <w:right w:val="single" w:sz="4" w:space="0" w:color="auto"/>
            </w:tcBorders>
            <w:shd w:val="clear" w:color="000000" w:fill="FFFFFF"/>
            <w:vAlign w:val="center"/>
            <w:hideMark/>
          </w:tcPr>
          <w:p w14:paraId="335C6CA4" w14:textId="77777777" w:rsidR="00C87588" w:rsidRPr="00C2237A" w:rsidRDefault="00C87588" w:rsidP="00C87588">
            <w:pPr>
              <w:spacing w:after="0" w:line="240" w:lineRule="auto"/>
              <w:rPr>
                <w:rFonts w:eastAsia="Times New Roman"/>
                <w:color w:val="000000"/>
                <w:sz w:val="18"/>
                <w:szCs w:val="18"/>
                <w:lang w:eastAsia="sl-SI"/>
              </w:rPr>
            </w:pPr>
            <w:r w:rsidRPr="00C2237A">
              <w:rPr>
                <w:rFonts w:eastAsia="Times New Roman"/>
                <w:color w:val="000000"/>
                <w:sz w:val="18"/>
                <w:szCs w:val="18"/>
                <w:lang w:eastAsia="sl-SI"/>
              </w:rPr>
              <w:t>7.2 Izboljšanje regionalne mobilnosti</w:t>
            </w:r>
          </w:p>
        </w:tc>
        <w:tc>
          <w:tcPr>
            <w:tcW w:w="1209" w:type="dxa"/>
            <w:tcBorders>
              <w:top w:val="nil"/>
              <w:left w:val="nil"/>
              <w:bottom w:val="single" w:sz="4" w:space="0" w:color="auto"/>
              <w:right w:val="single" w:sz="4" w:space="0" w:color="auto"/>
            </w:tcBorders>
            <w:shd w:val="clear" w:color="000000" w:fill="FFFFFF"/>
            <w:noWrap/>
            <w:vAlign w:val="bottom"/>
            <w:hideMark/>
          </w:tcPr>
          <w:p w14:paraId="7BC0B062" w14:textId="77777777" w:rsidR="00C87588" w:rsidRPr="00C2237A" w:rsidRDefault="00C87588" w:rsidP="00C87588">
            <w:pPr>
              <w:spacing w:after="0" w:line="240" w:lineRule="auto"/>
              <w:jc w:val="right"/>
              <w:rPr>
                <w:rFonts w:eastAsia="Times New Roman"/>
                <w:color w:val="000000"/>
                <w:sz w:val="18"/>
                <w:szCs w:val="18"/>
                <w:lang w:eastAsia="sl-SI"/>
              </w:rPr>
            </w:pPr>
            <w:r w:rsidRPr="00C2237A">
              <w:rPr>
                <w:rFonts w:eastAsia="Times New Roman"/>
                <w:color w:val="000000"/>
                <w:sz w:val="18"/>
                <w:szCs w:val="18"/>
                <w:lang w:eastAsia="sl-SI"/>
              </w:rPr>
              <w:t>39.668.020</w:t>
            </w:r>
          </w:p>
        </w:tc>
        <w:tc>
          <w:tcPr>
            <w:tcW w:w="1133" w:type="dxa"/>
            <w:tcBorders>
              <w:top w:val="single" w:sz="4" w:space="0" w:color="auto"/>
              <w:left w:val="nil"/>
              <w:bottom w:val="single" w:sz="4" w:space="0" w:color="auto"/>
              <w:right w:val="single" w:sz="4" w:space="0" w:color="auto"/>
            </w:tcBorders>
            <w:shd w:val="clear" w:color="000000" w:fill="FFFFFF"/>
            <w:noWrap/>
            <w:vAlign w:val="bottom"/>
            <w:hideMark/>
          </w:tcPr>
          <w:p w14:paraId="2A3B9384" w14:textId="77777777" w:rsidR="00C87588" w:rsidRPr="00C2237A" w:rsidRDefault="00C87588" w:rsidP="00C87588">
            <w:pPr>
              <w:spacing w:after="0" w:line="240" w:lineRule="auto"/>
              <w:jc w:val="right"/>
              <w:rPr>
                <w:rFonts w:eastAsia="Times New Roman"/>
                <w:color w:val="000000" w:themeColor="text1"/>
                <w:sz w:val="18"/>
                <w:szCs w:val="18"/>
                <w:lang w:eastAsia="sl-SI"/>
              </w:rPr>
            </w:pPr>
            <w:r w:rsidRPr="00C2237A">
              <w:rPr>
                <w:rFonts w:eastAsia="Times New Roman"/>
                <w:color w:val="000000" w:themeColor="text1"/>
                <w:sz w:val="18"/>
                <w:szCs w:val="18"/>
                <w:lang w:eastAsia="sl-SI"/>
              </w:rPr>
              <w:t> </w:t>
            </w:r>
          </w:p>
        </w:tc>
        <w:tc>
          <w:tcPr>
            <w:tcW w:w="1133" w:type="dxa"/>
            <w:tcBorders>
              <w:top w:val="single" w:sz="4" w:space="0" w:color="auto"/>
              <w:left w:val="nil"/>
              <w:bottom w:val="single" w:sz="4" w:space="0" w:color="auto"/>
              <w:right w:val="single" w:sz="4" w:space="0" w:color="auto"/>
            </w:tcBorders>
            <w:shd w:val="clear" w:color="auto" w:fill="auto"/>
            <w:noWrap/>
            <w:vAlign w:val="bottom"/>
            <w:hideMark/>
          </w:tcPr>
          <w:p w14:paraId="4A9708CB" w14:textId="77777777" w:rsidR="00C87588" w:rsidRPr="00C2237A" w:rsidRDefault="00C87588" w:rsidP="00C87588">
            <w:pPr>
              <w:spacing w:after="0" w:line="240" w:lineRule="auto"/>
              <w:jc w:val="right"/>
              <w:rPr>
                <w:rFonts w:eastAsia="Times New Roman"/>
                <w:color w:val="000000" w:themeColor="text1"/>
                <w:sz w:val="18"/>
                <w:szCs w:val="18"/>
                <w:lang w:eastAsia="sl-SI"/>
              </w:rPr>
            </w:pPr>
            <w:r w:rsidRPr="005525BA">
              <w:rPr>
                <w:rFonts w:eastAsia="Times New Roman"/>
                <w:color w:val="000000" w:themeColor="text1"/>
                <w:sz w:val="18"/>
                <w:szCs w:val="18"/>
                <w:lang w:eastAsia="sl-SI"/>
              </w:rPr>
              <w:t>28.767.272</w:t>
            </w:r>
          </w:p>
        </w:tc>
        <w:tc>
          <w:tcPr>
            <w:tcW w:w="1268" w:type="dxa"/>
            <w:tcBorders>
              <w:top w:val="nil"/>
              <w:left w:val="nil"/>
              <w:bottom w:val="single" w:sz="4" w:space="0" w:color="auto"/>
              <w:right w:val="single" w:sz="4" w:space="0" w:color="auto"/>
            </w:tcBorders>
            <w:shd w:val="clear" w:color="auto" w:fill="auto"/>
            <w:noWrap/>
            <w:vAlign w:val="bottom"/>
            <w:hideMark/>
          </w:tcPr>
          <w:p w14:paraId="1F39256C" w14:textId="77777777" w:rsidR="00C87588" w:rsidRPr="00E027CF" w:rsidRDefault="00C87588" w:rsidP="00C87588">
            <w:pPr>
              <w:spacing w:after="0" w:line="240" w:lineRule="auto"/>
              <w:jc w:val="right"/>
              <w:rPr>
                <w:rFonts w:eastAsia="Times New Roman"/>
                <w:b/>
                <w:color w:val="000000"/>
                <w:sz w:val="18"/>
                <w:szCs w:val="18"/>
                <w:lang w:eastAsia="sl-SI"/>
              </w:rPr>
            </w:pPr>
            <w:r w:rsidRPr="005525BA">
              <w:rPr>
                <w:rFonts w:eastAsia="Times New Roman"/>
                <w:b/>
                <w:color w:val="000000"/>
                <w:sz w:val="18"/>
                <w:szCs w:val="18"/>
                <w:lang w:eastAsia="sl-SI"/>
              </w:rPr>
              <w:t>28.767.272</w:t>
            </w:r>
          </w:p>
        </w:tc>
        <w:tc>
          <w:tcPr>
            <w:tcW w:w="1408" w:type="dxa"/>
            <w:tcBorders>
              <w:top w:val="nil"/>
              <w:left w:val="nil"/>
              <w:bottom w:val="single" w:sz="4" w:space="0" w:color="auto"/>
              <w:right w:val="single" w:sz="4" w:space="0" w:color="auto"/>
            </w:tcBorders>
            <w:shd w:val="clear" w:color="auto" w:fill="auto"/>
            <w:noWrap/>
            <w:vAlign w:val="bottom"/>
            <w:hideMark/>
          </w:tcPr>
          <w:p w14:paraId="6E5D5342" w14:textId="77777777" w:rsidR="00C87588" w:rsidRPr="00946CC3" w:rsidRDefault="00C87588" w:rsidP="00C87588">
            <w:pPr>
              <w:spacing w:after="0" w:line="240" w:lineRule="auto"/>
              <w:jc w:val="right"/>
              <w:rPr>
                <w:rFonts w:eastAsia="Times New Roman"/>
                <w:b/>
                <w:color w:val="000000"/>
                <w:sz w:val="18"/>
                <w:szCs w:val="18"/>
                <w:lang w:eastAsia="sl-SI"/>
              </w:rPr>
            </w:pPr>
            <w:r w:rsidRPr="00946CC3">
              <w:rPr>
                <w:rFonts w:eastAsia="Times New Roman"/>
                <w:b/>
                <w:color w:val="000000"/>
                <w:sz w:val="18"/>
                <w:szCs w:val="18"/>
                <w:lang w:eastAsia="sl-SI"/>
              </w:rPr>
              <w:t>68.435.292</w:t>
            </w:r>
          </w:p>
        </w:tc>
      </w:tr>
      <w:tr w:rsidR="00C87588" w:rsidRPr="00C2237A" w14:paraId="292E6350" w14:textId="77777777" w:rsidTr="00C87588">
        <w:trPr>
          <w:trHeight w:val="290"/>
        </w:trPr>
        <w:tc>
          <w:tcPr>
            <w:tcW w:w="2391" w:type="dxa"/>
            <w:tcBorders>
              <w:top w:val="nil"/>
              <w:left w:val="single" w:sz="4" w:space="0" w:color="auto"/>
              <w:bottom w:val="single" w:sz="4" w:space="0" w:color="auto"/>
              <w:right w:val="single" w:sz="4" w:space="0" w:color="auto"/>
            </w:tcBorders>
            <w:shd w:val="clear" w:color="auto" w:fill="auto"/>
            <w:vAlign w:val="center"/>
          </w:tcPr>
          <w:p w14:paraId="510C296D" w14:textId="77777777" w:rsidR="00C87588" w:rsidRDefault="00C87588" w:rsidP="00C87588">
            <w:pPr>
              <w:spacing w:after="0" w:line="240" w:lineRule="auto"/>
              <w:rPr>
                <w:rFonts w:eastAsia="Times New Roman"/>
                <w:color w:val="000000"/>
                <w:sz w:val="18"/>
                <w:szCs w:val="18"/>
                <w:lang w:eastAsia="sl-SI"/>
              </w:rPr>
            </w:pPr>
            <w:r>
              <w:rPr>
                <w:rFonts w:eastAsia="Times New Roman"/>
                <w:color w:val="000000"/>
                <w:sz w:val="18"/>
                <w:szCs w:val="18"/>
                <w:lang w:eastAsia="sl-SI"/>
              </w:rPr>
              <w:t xml:space="preserve">7.3 </w:t>
            </w:r>
            <w:r w:rsidRPr="00EE6C72">
              <w:rPr>
                <w:rFonts w:eastAsia="Times New Roman"/>
                <w:color w:val="000000"/>
                <w:sz w:val="18"/>
                <w:szCs w:val="18"/>
                <w:lang w:eastAsia="sl-SI"/>
              </w:rPr>
              <w:t>Odpravljanje ozkih grl na omrežju TEN-T</w:t>
            </w:r>
          </w:p>
        </w:tc>
        <w:tc>
          <w:tcPr>
            <w:tcW w:w="1209" w:type="dxa"/>
            <w:tcBorders>
              <w:top w:val="nil"/>
              <w:left w:val="nil"/>
              <w:bottom w:val="single" w:sz="4" w:space="0" w:color="auto"/>
              <w:right w:val="single" w:sz="4" w:space="0" w:color="auto"/>
            </w:tcBorders>
            <w:shd w:val="clear" w:color="auto" w:fill="auto"/>
            <w:noWrap/>
            <w:vAlign w:val="bottom"/>
          </w:tcPr>
          <w:p w14:paraId="5A9E2CF0" w14:textId="77777777" w:rsidR="00C87588" w:rsidRDefault="00C87588" w:rsidP="00C87588">
            <w:pPr>
              <w:spacing w:after="0" w:line="240" w:lineRule="auto"/>
              <w:jc w:val="right"/>
              <w:rPr>
                <w:rFonts w:eastAsia="Times New Roman"/>
                <w:color w:val="000000"/>
                <w:sz w:val="18"/>
                <w:szCs w:val="18"/>
                <w:lang w:eastAsia="sl-SI"/>
              </w:rPr>
            </w:pPr>
            <w:r>
              <w:rPr>
                <w:rFonts w:eastAsia="Times New Roman"/>
                <w:color w:val="000000"/>
                <w:sz w:val="18"/>
                <w:szCs w:val="18"/>
                <w:lang w:eastAsia="sl-SI"/>
              </w:rPr>
              <w:t>69.992.280</w:t>
            </w:r>
          </w:p>
        </w:tc>
        <w:tc>
          <w:tcPr>
            <w:tcW w:w="1133" w:type="dxa"/>
            <w:tcBorders>
              <w:top w:val="single" w:sz="4" w:space="0" w:color="auto"/>
              <w:left w:val="nil"/>
              <w:bottom w:val="single" w:sz="4" w:space="0" w:color="auto"/>
              <w:right w:val="single" w:sz="4" w:space="0" w:color="auto"/>
            </w:tcBorders>
            <w:shd w:val="clear" w:color="auto" w:fill="auto"/>
            <w:noWrap/>
            <w:vAlign w:val="bottom"/>
          </w:tcPr>
          <w:p w14:paraId="012ED413" w14:textId="77777777" w:rsidR="00C87588" w:rsidRDefault="00C87588" w:rsidP="00C87588">
            <w:pPr>
              <w:spacing w:after="0"/>
              <w:jc w:val="right"/>
              <w:rPr>
                <w:rFonts w:cs="Calibri"/>
                <w:color w:val="000000"/>
                <w:sz w:val="18"/>
                <w:szCs w:val="18"/>
              </w:rPr>
            </w:pPr>
          </w:p>
        </w:tc>
        <w:tc>
          <w:tcPr>
            <w:tcW w:w="1133" w:type="dxa"/>
            <w:tcBorders>
              <w:top w:val="single" w:sz="4" w:space="0" w:color="auto"/>
              <w:left w:val="nil"/>
              <w:bottom w:val="single" w:sz="4" w:space="0" w:color="auto"/>
              <w:right w:val="single" w:sz="4" w:space="0" w:color="auto"/>
            </w:tcBorders>
            <w:shd w:val="clear" w:color="auto" w:fill="auto"/>
            <w:noWrap/>
            <w:vAlign w:val="bottom"/>
          </w:tcPr>
          <w:p w14:paraId="7C8A8B0E" w14:textId="77777777" w:rsidR="00C87588" w:rsidRDefault="00C87588" w:rsidP="00C87588">
            <w:pPr>
              <w:spacing w:after="0" w:line="240" w:lineRule="auto"/>
              <w:jc w:val="right"/>
              <w:rPr>
                <w:rFonts w:eastAsia="Times New Roman"/>
                <w:color w:val="000000" w:themeColor="text1"/>
                <w:sz w:val="18"/>
                <w:szCs w:val="18"/>
                <w:lang w:eastAsia="sl-SI"/>
              </w:rPr>
            </w:pPr>
            <w:r>
              <w:rPr>
                <w:rFonts w:eastAsia="Times New Roman"/>
                <w:color w:val="000000" w:themeColor="text1"/>
                <w:sz w:val="18"/>
                <w:szCs w:val="18"/>
                <w:lang w:eastAsia="sl-SI"/>
              </w:rPr>
              <w:t>- 4.900.000</w:t>
            </w:r>
          </w:p>
        </w:tc>
        <w:tc>
          <w:tcPr>
            <w:tcW w:w="1268" w:type="dxa"/>
            <w:tcBorders>
              <w:top w:val="nil"/>
              <w:left w:val="nil"/>
              <w:bottom w:val="single" w:sz="4" w:space="0" w:color="auto"/>
              <w:right w:val="single" w:sz="4" w:space="0" w:color="auto"/>
            </w:tcBorders>
            <w:shd w:val="clear" w:color="auto" w:fill="auto"/>
            <w:noWrap/>
            <w:vAlign w:val="bottom"/>
          </w:tcPr>
          <w:p w14:paraId="6A059417" w14:textId="77777777" w:rsidR="00C87588" w:rsidRPr="00946CC3" w:rsidRDefault="00C87588" w:rsidP="00C87588">
            <w:pPr>
              <w:spacing w:after="0" w:line="240" w:lineRule="auto"/>
              <w:jc w:val="right"/>
              <w:rPr>
                <w:rFonts w:cs="Calibri"/>
                <w:b/>
                <w:color w:val="000000"/>
                <w:sz w:val="18"/>
                <w:szCs w:val="18"/>
              </w:rPr>
            </w:pPr>
            <w:r>
              <w:rPr>
                <w:rFonts w:cs="Calibri"/>
                <w:b/>
                <w:color w:val="000000"/>
                <w:sz w:val="18"/>
                <w:szCs w:val="18"/>
              </w:rPr>
              <w:t>- 4.900.000</w:t>
            </w:r>
          </w:p>
        </w:tc>
        <w:tc>
          <w:tcPr>
            <w:tcW w:w="1408" w:type="dxa"/>
            <w:tcBorders>
              <w:top w:val="nil"/>
              <w:left w:val="nil"/>
              <w:bottom w:val="single" w:sz="4" w:space="0" w:color="auto"/>
              <w:right w:val="single" w:sz="4" w:space="0" w:color="auto"/>
            </w:tcBorders>
            <w:shd w:val="clear" w:color="auto" w:fill="auto"/>
            <w:noWrap/>
            <w:vAlign w:val="bottom"/>
          </w:tcPr>
          <w:p w14:paraId="730F3342" w14:textId="77777777" w:rsidR="00C87588" w:rsidRPr="00946CC3" w:rsidRDefault="00C87588" w:rsidP="00C87588">
            <w:pPr>
              <w:spacing w:after="0"/>
              <w:jc w:val="right"/>
              <w:rPr>
                <w:rFonts w:cs="Calibri"/>
                <w:b/>
                <w:color w:val="000000"/>
                <w:sz w:val="18"/>
                <w:szCs w:val="18"/>
              </w:rPr>
            </w:pPr>
            <w:r>
              <w:rPr>
                <w:rFonts w:cs="Calibri"/>
                <w:b/>
                <w:color w:val="000000"/>
                <w:sz w:val="18"/>
                <w:szCs w:val="18"/>
              </w:rPr>
              <w:t>65.092.280</w:t>
            </w:r>
          </w:p>
        </w:tc>
      </w:tr>
      <w:tr w:rsidR="00C87588" w:rsidRPr="00C2237A" w14:paraId="574687CB" w14:textId="77777777" w:rsidTr="00C87588">
        <w:trPr>
          <w:trHeight w:val="290"/>
        </w:trPr>
        <w:tc>
          <w:tcPr>
            <w:tcW w:w="2391" w:type="dxa"/>
            <w:tcBorders>
              <w:top w:val="nil"/>
              <w:left w:val="single" w:sz="4" w:space="0" w:color="auto"/>
              <w:bottom w:val="single" w:sz="4" w:space="0" w:color="auto"/>
              <w:right w:val="single" w:sz="4" w:space="0" w:color="auto"/>
            </w:tcBorders>
            <w:shd w:val="clear" w:color="auto" w:fill="auto"/>
            <w:vAlign w:val="center"/>
          </w:tcPr>
          <w:p w14:paraId="73A4C2F6" w14:textId="77777777" w:rsidR="00C87588" w:rsidRDefault="00C87588" w:rsidP="00C87588">
            <w:pPr>
              <w:spacing w:after="0" w:line="240" w:lineRule="auto"/>
              <w:rPr>
                <w:rFonts w:eastAsia="Times New Roman"/>
                <w:color w:val="000000"/>
                <w:sz w:val="18"/>
                <w:szCs w:val="18"/>
                <w:lang w:eastAsia="sl-SI"/>
              </w:rPr>
            </w:pPr>
            <w:r>
              <w:rPr>
                <w:rFonts w:eastAsia="Times New Roman"/>
                <w:color w:val="000000"/>
                <w:sz w:val="18"/>
                <w:szCs w:val="18"/>
                <w:lang w:eastAsia="sl-SI"/>
              </w:rPr>
              <w:t>8.3 Aktivno in zdravo staranje</w:t>
            </w:r>
          </w:p>
        </w:tc>
        <w:tc>
          <w:tcPr>
            <w:tcW w:w="1209" w:type="dxa"/>
            <w:tcBorders>
              <w:top w:val="nil"/>
              <w:left w:val="nil"/>
              <w:bottom w:val="single" w:sz="4" w:space="0" w:color="auto"/>
              <w:right w:val="single" w:sz="4" w:space="0" w:color="auto"/>
            </w:tcBorders>
            <w:shd w:val="clear" w:color="auto" w:fill="auto"/>
            <w:noWrap/>
            <w:vAlign w:val="bottom"/>
          </w:tcPr>
          <w:p w14:paraId="12D83B79" w14:textId="77777777" w:rsidR="00C87588" w:rsidRDefault="00C87588" w:rsidP="00C87588">
            <w:pPr>
              <w:spacing w:after="0" w:line="240" w:lineRule="auto"/>
              <w:jc w:val="right"/>
              <w:rPr>
                <w:rFonts w:eastAsia="Times New Roman"/>
                <w:color w:val="000000"/>
                <w:sz w:val="18"/>
                <w:szCs w:val="18"/>
                <w:lang w:eastAsia="sl-SI"/>
              </w:rPr>
            </w:pPr>
          </w:p>
          <w:p w14:paraId="0C6E5E36" w14:textId="77777777" w:rsidR="00C87588" w:rsidRPr="00D15FF8" w:rsidRDefault="00C87588" w:rsidP="00C87588">
            <w:pPr>
              <w:spacing w:after="0" w:line="240" w:lineRule="auto"/>
              <w:jc w:val="right"/>
              <w:rPr>
                <w:rFonts w:cs="Calibri"/>
                <w:color w:val="000000"/>
                <w:sz w:val="18"/>
                <w:szCs w:val="18"/>
              </w:rPr>
            </w:pPr>
            <w:r w:rsidRPr="00B13136">
              <w:rPr>
                <w:rFonts w:eastAsia="Times New Roman"/>
                <w:color w:val="000000"/>
                <w:sz w:val="18"/>
                <w:szCs w:val="18"/>
                <w:lang w:eastAsia="sl-SI"/>
              </w:rPr>
              <w:t>37.536.785</w:t>
            </w:r>
          </w:p>
        </w:tc>
        <w:tc>
          <w:tcPr>
            <w:tcW w:w="1133" w:type="dxa"/>
            <w:tcBorders>
              <w:top w:val="single" w:sz="4" w:space="0" w:color="auto"/>
              <w:left w:val="nil"/>
              <w:bottom w:val="single" w:sz="4" w:space="0" w:color="auto"/>
              <w:right w:val="single" w:sz="4" w:space="0" w:color="auto"/>
            </w:tcBorders>
            <w:shd w:val="clear" w:color="auto" w:fill="auto"/>
            <w:noWrap/>
            <w:vAlign w:val="bottom"/>
          </w:tcPr>
          <w:p w14:paraId="0120FB83" w14:textId="77777777" w:rsidR="00C87588" w:rsidRPr="00D15FF8" w:rsidRDefault="00C87588" w:rsidP="00C87588">
            <w:pPr>
              <w:spacing w:after="0"/>
              <w:jc w:val="right"/>
              <w:rPr>
                <w:rFonts w:cs="Calibri"/>
                <w:color w:val="000000"/>
                <w:sz w:val="18"/>
                <w:szCs w:val="18"/>
              </w:rPr>
            </w:pPr>
            <w:r>
              <w:rPr>
                <w:rFonts w:cs="Calibri"/>
                <w:color w:val="000000"/>
                <w:sz w:val="18"/>
                <w:szCs w:val="18"/>
              </w:rPr>
              <w:t>3.000.000</w:t>
            </w:r>
          </w:p>
        </w:tc>
        <w:tc>
          <w:tcPr>
            <w:tcW w:w="1133" w:type="dxa"/>
            <w:tcBorders>
              <w:top w:val="single" w:sz="4" w:space="0" w:color="auto"/>
              <w:left w:val="nil"/>
              <w:bottom w:val="single" w:sz="4" w:space="0" w:color="auto"/>
              <w:right w:val="single" w:sz="4" w:space="0" w:color="auto"/>
            </w:tcBorders>
            <w:shd w:val="clear" w:color="auto" w:fill="auto"/>
            <w:noWrap/>
            <w:vAlign w:val="bottom"/>
          </w:tcPr>
          <w:p w14:paraId="695D8569" w14:textId="77777777" w:rsidR="00C87588" w:rsidRPr="00C2237A" w:rsidRDefault="00C87588" w:rsidP="00C87588">
            <w:pPr>
              <w:spacing w:after="0" w:line="240" w:lineRule="auto"/>
              <w:jc w:val="right"/>
              <w:rPr>
                <w:rFonts w:eastAsia="Times New Roman"/>
                <w:color w:val="000000" w:themeColor="text1"/>
                <w:sz w:val="18"/>
                <w:szCs w:val="18"/>
                <w:lang w:eastAsia="sl-SI"/>
              </w:rPr>
            </w:pPr>
            <w:r>
              <w:rPr>
                <w:rFonts w:eastAsia="Times New Roman"/>
                <w:color w:val="000000" w:themeColor="text1"/>
                <w:sz w:val="18"/>
                <w:szCs w:val="18"/>
                <w:lang w:eastAsia="sl-SI"/>
              </w:rPr>
              <w:t>0</w:t>
            </w:r>
          </w:p>
        </w:tc>
        <w:tc>
          <w:tcPr>
            <w:tcW w:w="1268" w:type="dxa"/>
            <w:tcBorders>
              <w:top w:val="nil"/>
              <w:left w:val="nil"/>
              <w:bottom w:val="single" w:sz="4" w:space="0" w:color="auto"/>
              <w:right w:val="single" w:sz="4" w:space="0" w:color="auto"/>
            </w:tcBorders>
            <w:shd w:val="clear" w:color="auto" w:fill="auto"/>
            <w:noWrap/>
            <w:vAlign w:val="bottom"/>
          </w:tcPr>
          <w:p w14:paraId="43D40F85" w14:textId="77777777" w:rsidR="00C87588" w:rsidRPr="00946CC3" w:rsidRDefault="00C87588" w:rsidP="00C87588">
            <w:pPr>
              <w:spacing w:after="0" w:line="240" w:lineRule="auto"/>
              <w:jc w:val="right"/>
              <w:rPr>
                <w:rFonts w:cs="Calibri"/>
                <w:b/>
                <w:color w:val="000000"/>
                <w:sz w:val="18"/>
                <w:szCs w:val="18"/>
              </w:rPr>
            </w:pPr>
            <w:r w:rsidRPr="00946CC3">
              <w:rPr>
                <w:rFonts w:cs="Calibri"/>
                <w:b/>
                <w:color w:val="000000"/>
                <w:sz w:val="18"/>
                <w:szCs w:val="18"/>
              </w:rPr>
              <w:t>3.000.000</w:t>
            </w:r>
          </w:p>
        </w:tc>
        <w:tc>
          <w:tcPr>
            <w:tcW w:w="1408" w:type="dxa"/>
            <w:tcBorders>
              <w:top w:val="nil"/>
              <w:left w:val="nil"/>
              <w:bottom w:val="single" w:sz="4" w:space="0" w:color="auto"/>
              <w:right w:val="single" w:sz="4" w:space="0" w:color="auto"/>
            </w:tcBorders>
            <w:shd w:val="clear" w:color="auto" w:fill="auto"/>
            <w:noWrap/>
            <w:vAlign w:val="bottom"/>
          </w:tcPr>
          <w:p w14:paraId="396448B8" w14:textId="77777777" w:rsidR="00C87588" w:rsidRPr="00946CC3" w:rsidRDefault="00C87588" w:rsidP="00C87588">
            <w:pPr>
              <w:spacing w:after="0"/>
              <w:jc w:val="right"/>
              <w:rPr>
                <w:rFonts w:cs="Calibri"/>
                <w:b/>
                <w:color w:val="000000"/>
                <w:sz w:val="18"/>
                <w:szCs w:val="18"/>
              </w:rPr>
            </w:pPr>
            <w:r w:rsidRPr="00946CC3">
              <w:rPr>
                <w:rFonts w:cs="Calibri"/>
                <w:b/>
                <w:color w:val="000000"/>
                <w:sz w:val="18"/>
                <w:szCs w:val="18"/>
              </w:rPr>
              <w:t>40.536.785</w:t>
            </w:r>
          </w:p>
        </w:tc>
      </w:tr>
      <w:tr w:rsidR="00C87588" w:rsidRPr="00C2237A" w14:paraId="624E8941" w14:textId="77777777" w:rsidTr="00C87588">
        <w:trPr>
          <w:trHeight w:val="290"/>
        </w:trPr>
        <w:tc>
          <w:tcPr>
            <w:tcW w:w="23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D4657D" w14:textId="77777777" w:rsidR="00C87588" w:rsidRPr="00C2237A" w:rsidRDefault="00C87588" w:rsidP="00C87588">
            <w:pPr>
              <w:spacing w:after="0" w:line="240" w:lineRule="auto"/>
              <w:rPr>
                <w:rFonts w:eastAsia="Times New Roman"/>
                <w:color w:val="000000"/>
                <w:sz w:val="18"/>
                <w:szCs w:val="18"/>
                <w:lang w:eastAsia="sl-SI"/>
              </w:rPr>
            </w:pPr>
            <w:r>
              <w:rPr>
                <w:rFonts w:eastAsia="Times New Roman"/>
                <w:color w:val="000000"/>
                <w:sz w:val="18"/>
                <w:szCs w:val="18"/>
                <w:lang w:eastAsia="sl-SI"/>
              </w:rPr>
              <w:t xml:space="preserve">9.2 </w:t>
            </w:r>
            <w:r w:rsidRPr="00B13136">
              <w:rPr>
                <w:rFonts w:eastAsia="Times New Roman"/>
                <w:color w:val="000000"/>
                <w:sz w:val="18"/>
                <w:szCs w:val="18"/>
                <w:lang w:eastAsia="sl-SI"/>
              </w:rPr>
              <w:t>Spodbujanje razpoložljivosti cenovno dostopnih, trajnostnih in visoko kakovostnih storite</w:t>
            </w:r>
          </w:p>
        </w:tc>
        <w:tc>
          <w:tcPr>
            <w:tcW w:w="1209" w:type="dxa"/>
            <w:tcBorders>
              <w:top w:val="single" w:sz="4" w:space="0" w:color="auto"/>
              <w:left w:val="nil"/>
              <w:bottom w:val="single" w:sz="4" w:space="0" w:color="auto"/>
              <w:right w:val="single" w:sz="4" w:space="0" w:color="auto"/>
            </w:tcBorders>
            <w:shd w:val="clear" w:color="auto" w:fill="auto"/>
            <w:noWrap/>
            <w:vAlign w:val="bottom"/>
          </w:tcPr>
          <w:p w14:paraId="3A465815" w14:textId="77777777" w:rsidR="00C87588" w:rsidRPr="00946CC3" w:rsidRDefault="00C87588" w:rsidP="00C87588">
            <w:pPr>
              <w:spacing w:after="0" w:line="240" w:lineRule="auto"/>
              <w:jc w:val="right"/>
              <w:rPr>
                <w:rFonts w:eastAsia="Times New Roman"/>
                <w:color w:val="000000"/>
                <w:sz w:val="18"/>
                <w:szCs w:val="18"/>
                <w:lang w:eastAsia="sl-SI"/>
              </w:rPr>
            </w:pPr>
            <w:r w:rsidRPr="00946CC3">
              <w:rPr>
                <w:rFonts w:eastAsia="Times New Roman"/>
                <w:color w:val="000000"/>
                <w:sz w:val="18"/>
                <w:szCs w:val="18"/>
                <w:lang w:eastAsia="sl-SI"/>
              </w:rPr>
              <w:t>29.547.323</w:t>
            </w:r>
          </w:p>
          <w:p w14:paraId="37ADF825" w14:textId="77777777" w:rsidR="00C87588" w:rsidRPr="00D15FF8" w:rsidRDefault="00C87588" w:rsidP="00C87588">
            <w:pPr>
              <w:spacing w:after="0"/>
              <w:jc w:val="right"/>
              <w:rPr>
                <w:rFonts w:cs="Calibri"/>
                <w:color w:val="000000"/>
                <w:sz w:val="18"/>
                <w:szCs w:val="18"/>
              </w:rPr>
            </w:pPr>
          </w:p>
        </w:tc>
        <w:tc>
          <w:tcPr>
            <w:tcW w:w="1133" w:type="dxa"/>
            <w:tcBorders>
              <w:top w:val="single" w:sz="4" w:space="0" w:color="auto"/>
              <w:left w:val="nil"/>
              <w:bottom w:val="single" w:sz="4" w:space="0" w:color="auto"/>
              <w:right w:val="single" w:sz="4" w:space="0" w:color="auto"/>
            </w:tcBorders>
            <w:shd w:val="clear" w:color="auto" w:fill="auto"/>
            <w:noWrap/>
            <w:vAlign w:val="bottom"/>
          </w:tcPr>
          <w:p w14:paraId="2815671A" w14:textId="77777777" w:rsidR="00C87588" w:rsidRPr="00D15FF8" w:rsidRDefault="00C87588" w:rsidP="00C87588">
            <w:pPr>
              <w:spacing w:after="0"/>
              <w:jc w:val="right"/>
              <w:rPr>
                <w:rFonts w:cs="Calibri"/>
                <w:color w:val="000000"/>
                <w:sz w:val="18"/>
                <w:szCs w:val="18"/>
              </w:rPr>
            </w:pPr>
            <w:r>
              <w:rPr>
                <w:rFonts w:cs="Calibri"/>
                <w:color w:val="000000"/>
                <w:sz w:val="18"/>
                <w:szCs w:val="18"/>
              </w:rPr>
              <w:t>7.256.161</w:t>
            </w:r>
          </w:p>
        </w:tc>
        <w:tc>
          <w:tcPr>
            <w:tcW w:w="1133" w:type="dxa"/>
            <w:tcBorders>
              <w:top w:val="single" w:sz="4" w:space="0" w:color="auto"/>
              <w:left w:val="nil"/>
              <w:bottom w:val="single" w:sz="4" w:space="0" w:color="auto"/>
              <w:right w:val="single" w:sz="4" w:space="0" w:color="auto"/>
            </w:tcBorders>
            <w:shd w:val="clear" w:color="auto" w:fill="auto"/>
            <w:noWrap/>
            <w:vAlign w:val="bottom"/>
          </w:tcPr>
          <w:p w14:paraId="58212B1B" w14:textId="77777777" w:rsidR="00C87588" w:rsidRPr="00C2237A" w:rsidRDefault="00C87588" w:rsidP="00C87588">
            <w:pPr>
              <w:spacing w:after="0" w:line="240" w:lineRule="auto"/>
              <w:jc w:val="right"/>
              <w:rPr>
                <w:rFonts w:eastAsia="Times New Roman"/>
                <w:color w:val="000000" w:themeColor="text1"/>
                <w:sz w:val="18"/>
                <w:szCs w:val="18"/>
                <w:lang w:eastAsia="sl-SI"/>
              </w:rPr>
            </w:pPr>
            <w:r>
              <w:rPr>
                <w:rFonts w:eastAsia="Times New Roman"/>
                <w:color w:val="000000" w:themeColor="text1"/>
                <w:sz w:val="18"/>
                <w:szCs w:val="18"/>
                <w:lang w:eastAsia="sl-SI"/>
              </w:rPr>
              <w:t>0</w:t>
            </w:r>
          </w:p>
        </w:tc>
        <w:tc>
          <w:tcPr>
            <w:tcW w:w="1268" w:type="dxa"/>
            <w:tcBorders>
              <w:top w:val="single" w:sz="4" w:space="0" w:color="auto"/>
              <w:left w:val="nil"/>
              <w:bottom w:val="single" w:sz="4" w:space="0" w:color="auto"/>
              <w:right w:val="single" w:sz="4" w:space="0" w:color="auto"/>
            </w:tcBorders>
            <w:shd w:val="clear" w:color="auto" w:fill="auto"/>
            <w:noWrap/>
            <w:vAlign w:val="bottom"/>
          </w:tcPr>
          <w:p w14:paraId="0B7FA2C6" w14:textId="77777777" w:rsidR="00C87588" w:rsidRPr="00946CC3" w:rsidRDefault="00C87588" w:rsidP="00C87588">
            <w:pPr>
              <w:spacing w:after="0" w:line="240" w:lineRule="auto"/>
              <w:jc w:val="right"/>
              <w:rPr>
                <w:rFonts w:eastAsia="Times New Roman"/>
                <w:b/>
                <w:color w:val="000000"/>
                <w:sz w:val="18"/>
                <w:szCs w:val="18"/>
                <w:lang w:eastAsia="sl-SI"/>
              </w:rPr>
            </w:pPr>
            <w:r>
              <w:rPr>
                <w:rFonts w:cs="Calibri"/>
                <w:b/>
                <w:color w:val="000000"/>
                <w:sz w:val="18"/>
                <w:szCs w:val="18"/>
              </w:rPr>
              <w:t>7.2</w:t>
            </w:r>
            <w:r w:rsidRPr="00946CC3">
              <w:rPr>
                <w:rFonts w:cs="Calibri"/>
                <w:b/>
                <w:color w:val="000000"/>
                <w:sz w:val="18"/>
                <w:szCs w:val="18"/>
              </w:rPr>
              <w:t>56.161</w:t>
            </w:r>
          </w:p>
        </w:tc>
        <w:tc>
          <w:tcPr>
            <w:tcW w:w="1408" w:type="dxa"/>
            <w:tcBorders>
              <w:top w:val="single" w:sz="4" w:space="0" w:color="auto"/>
              <w:left w:val="nil"/>
              <w:bottom w:val="single" w:sz="4" w:space="0" w:color="auto"/>
              <w:right w:val="single" w:sz="4" w:space="0" w:color="auto"/>
            </w:tcBorders>
            <w:shd w:val="clear" w:color="auto" w:fill="auto"/>
            <w:noWrap/>
            <w:vAlign w:val="bottom"/>
          </w:tcPr>
          <w:p w14:paraId="3A9431FD" w14:textId="77777777" w:rsidR="00C87588" w:rsidRPr="00946CC3" w:rsidRDefault="00C87588" w:rsidP="00C87588">
            <w:pPr>
              <w:spacing w:after="0"/>
              <w:jc w:val="right"/>
              <w:rPr>
                <w:rFonts w:cs="Calibri"/>
                <w:b/>
                <w:color w:val="000000"/>
                <w:sz w:val="18"/>
                <w:szCs w:val="18"/>
              </w:rPr>
            </w:pPr>
            <w:r>
              <w:rPr>
                <w:rFonts w:cs="Calibri"/>
                <w:b/>
                <w:color w:val="000000"/>
                <w:sz w:val="18"/>
                <w:szCs w:val="18"/>
              </w:rPr>
              <w:t>36.803.484</w:t>
            </w:r>
          </w:p>
        </w:tc>
      </w:tr>
      <w:tr w:rsidR="00C87588" w:rsidRPr="00C2237A" w14:paraId="62724C4C" w14:textId="77777777" w:rsidTr="00C87588">
        <w:trPr>
          <w:trHeight w:val="290"/>
        </w:trPr>
        <w:tc>
          <w:tcPr>
            <w:tcW w:w="2391" w:type="dxa"/>
            <w:tcBorders>
              <w:top w:val="single" w:sz="4" w:space="0" w:color="auto"/>
              <w:left w:val="single" w:sz="4" w:space="0" w:color="auto"/>
              <w:bottom w:val="single" w:sz="4" w:space="0" w:color="auto"/>
              <w:right w:val="single" w:sz="4" w:space="0" w:color="auto"/>
            </w:tcBorders>
            <w:shd w:val="clear" w:color="auto" w:fill="auto"/>
            <w:vAlign w:val="center"/>
          </w:tcPr>
          <w:p w14:paraId="79F4745A" w14:textId="77777777" w:rsidR="00C87588" w:rsidRDefault="00C87588" w:rsidP="00C87588">
            <w:pPr>
              <w:spacing w:after="0" w:line="240" w:lineRule="auto"/>
              <w:rPr>
                <w:rFonts w:eastAsia="Times New Roman"/>
                <w:color w:val="000000"/>
                <w:sz w:val="18"/>
                <w:szCs w:val="18"/>
                <w:lang w:eastAsia="sl-SI"/>
              </w:rPr>
            </w:pPr>
            <w:r>
              <w:rPr>
                <w:rFonts w:eastAsia="Times New Roman"/>
                <w:color w:val="000000"/>
                <w:sz w:val="18"/>
                <w:szCs w:val="18"/>
                <w:lang w:eastAsia="sl-SI"/>
              </w:rPr>
              <w:t>11.1</w:t>
            </w:r>
            <w:r w:rsidRPr="00B13136">
              <w:rPr>
                <w:rFonts w:eastAsia="Times New Roman"/>
                <w:color w:val="000000"/>
                <w:sz w:val="18"/>
                <w:szCs w:val="18"/>
                <w:lang w:eastAsia="sl-SI"/>
              </w:rPr>
              <w:t xml:space="preserve"> Naložbe v institucionalno zmogljivost ter učinkovitost</w:t>
            </w:r>
          </w:p>
        </w:tc>
        <w:tc>
          <w:tcPr>
            <w:tcW w:w="1209" w:type="dxa"/>
            <w:tcBorders>
              <w:top w:val="single" w:sz="4" w:space="0" w:color="auto"/>
              <w:left w:val="nil"/>
              <w:bottom w:val="single" w:sz="4" w:space="0" w:color="auto"/>
              <w:right w:val="single" w:sz="4" w:space="0" w:color="auto"/>
            </w:tcBorders>
            <w:shd w:val="clear" w:color="auto" w:fill="auto"/>
            <w:noWrap/>
            <w:vAlign w:val="bottom"/>
          </w:tcPr>
          <w:p w14:paraId="3220968F" w14:textId="77777777" w:rsidR="00C87588" w:rsidRDefault="00C87588" w:rsidP="00C87588">
            <w:pPr>
              <w:spacing w:after="0" w:line="240" w:lineRule="auto"/>
              <w:jc w:val="right"/>
              <w:rPr>
                <w:rFonts w:eastAsia="Times New Roman"/>
                <w:color w:val="000000"/>
                <w:sz w:val="18"/>
                <w:szCs w:val="18"/>
                <w:lang w:eastAsia="sl-SI"/>
              </w:rPr>
            </w:pPr>
          </w:p>
          <w:p w14:paraId="273CBB26" w14:textId="77777777" w:rsidR="00C87588" w:rsidRPr="00D15FF8" w:rsidRDefault="00C87588" w:rsidP="00C87588">
            <w:pPr>
              <w:spacing w:after="0" w:line="240" w:lineRule="auto"/>
              <w:jc w:val="right"/>
              <w:rPr>
                <w:rFonts w:cs="Calibri"/>
                <w:color w:val="000000"/>
                <w:sz w:val="18"/>
                <w:szCs w:val="18"/>
              </w:rPr>
            </w:pPr>
            <w:r w:rsidRPr="00B13136">
              <w:rPr>
                <w:rFonts w:eastAsia="Times New Roman"/>
                <w:color w:val="000000"/>
                <w:sz w:val="18"/>
                <w:szCs w:val="18"/>
                <w:lang w:eastAsia="sl-SI"/>
              </w:rPr>
              <w:t>52.058.607</w:t>
            </w:r>
          </w:p>
        </w:tc>
        <w:tc>
          <w:tcPr>
            <w:tcW w:w="1133" w:type="dxa"/>
            <w:tcBorders>
              <w:top w:val="single" w:sz="4" w:space="0" w:color="auto"/>
              <w:left w:val="nil"/>
              <w:bottom w:val="single" w:sz="4" w:space="0" w:color="auto"/>
              <w:right w:val="single" w:sz="4" w:space="0" w:color="auto"/>
            </w:tcBorders>
            <w:shd w:val="clear" w:color="auto" w:fill="auto"/>
            <w:noWrap/>
            <w:vAlign w:val="bottom"/>
          </w:tcPr>
          <w:p w14:paraId="5FE47A6B" w14:textId="77777777" w:rsidR="00C87588" w:rsidRPr="00D15FF8" w:rsidRDefault="00C87588" w:rsidP="00C87588">
            <w:pPr>
              <w:spacing w:after="0"/>
              <w:jc w:val="right"/>
              <w:rPr>
                <w:rFonts w:cs="Calibri"/>
                <w:color w:val="000000"/>
                <w:sz w:val="18"/>
                <w:szCs w:val="18"/>
              </w:rPr>
            </w:pPr>
            <w:r>
              <w:rPr>
                <w:rFonts w:cs="Calibri"/>
                <w:color w:val="000000"/>
                <w:sz w:val="18"/>
                <w:szCs w:val="18"/>
              </w:rPr>
              <w:t>800.000</w:t>
            </w:r>
          </w:p>
        </w:tc>
        <w:tc>
          <w:tcPr>
            <w:tcW w:w="1133" w:type="dxa"/>
            <w:tcBorders>
              <w:top w:val="single" w:sz="4" w:space="0" w:color="auto"/>
              <w:left w:val="nil"/>
              <w:bottom w:val="single" w:sz="4" w:space="0" w:color="auto"/>
              <w:right w:val="single" w:sz="4" w:space="0" w:color="auto"/>
            </w:tcBorders>
            <w:shd w:val="clear" w:color="auto" w:fill="auto"/>
            <w:noWrap/>
            <w:vAlign w:val="bottom"/>
          </w:tcPr>
          <w:p w14:paraId="5B393E00" w14:textId="77777777" w:rsidR="00C87588" w:rsidRPr="00C2237A" w:rsidRDefault="00C87588" w:rsidP="00C87588">
            <w:pPr>
              <w:spacing w:after="0" w:line="240" w:lineRule="auto"/>
              <w:jc w:val="right"/>
              <w:rPr>
                <w:rFonts w:eastAsia="Times New Roman"/>
                <w:color w:val="000000" w:themeColor="text1"/>
                <w:sz w:val="18"/>
                <w:szCs w:val="18"/>
                <w:lang w:eastAsia="sl-SI"/>
              </w:rPr>
            </w:pPr>
            <w:r>
              <w:rPr>
                <w:rFonts w:eastAsia="Times New Roman"/>
                <w:color w:val="000000" w:themeColor="text1"/>
                <w:sz w:val="18"/>
                <w:szCs w:val="18"/>
                <w:lang w:eastAsia="sl-SI"/>
              </w:rPr>
              <w:t>0</w:t>
            </w:r>
          </w:p>
        </w:tc>
        <w:tc>
          <w:tcPr>
            <w:tcW w:w="1268" w:type="dxa"/>
            <w:tcBorders>
              <w:top w:val="single" w:sz="4" w:space="0" w:color="auto"/>
              <w:left w:val="nil"/>
              <w:bottom w:val="single" w:sz="4" w:space="0" w:color="auto"/>
              <w:right w:val="single" w:sz="4" w:space="0" w:color="auto"/>
            </w:tcBorders>
            <w:shd w:val="clear" w:color="auto" w:fill="auto"/>
            <w:noWrap/>
            <w:vAlign w:val="bottom"/>
          </w:tcPr>
          <w:p w14:paraId="3E0C6BC1" w14:textId="77777777" w:rsidR="00C87588" w:rsidRPr="00946CC3" w:rsidRDefault="00C87588" w:rsidP="00C87588">
            <w:pPr>
              <w:spacing w:after="0" w:line="240" w:lineRule="auto"/>
              <w:jc w:val="right"/>
              <w:rPr>
                <w:rFonts w:cs="Calibri"/>
                <w:b/>
                <w:color w:val="000000"/>
                <w:sz w:val="18"/>
                <w:szCs w:val="18"/>
              </w:rPr>
            </w:pPr>
            <w:r>
              <w:rPr>
                <w:rFonts w:cs="Calibri"/>
                <w:b/>
                <w:color w:val="000000"/>
                <w:sz w:val="18"/>
                <w:szCs w:val="18"/>
              </w:rPr>
              <w:t>8</w:t>
            </w:r>
            <w:r w:rsidRPr="00946CC3">
              <w:rPr>
                <w:rFonts w:cs="Calibri"/>
                <w:b/>
                <w:color w:val="000000"/>
                <w:sz w:val="18"/>
                <w:szCs w:val="18"/>
              </w:rPr>
              <w:t>00.000</w:t>
            </w:r>
          </w:p>
        </w:tc>
        <w:tc>
          <w:tcPr>
            <w:tcW w:w="1408" w:type="dxa"/>
            <w:tcBorders>
              <w:top w:val="single" w:sz="4" w:space="0" w:color="auto"/>
              <w:left w:val="nil"/>
              <w:bottom w:val="single" w:sz="4" w:space="0" w:color="auto"/>
              <w:right w:val="single" w:sz="4" w:space="0" w:color="auto"/>
            </w:tcBorders>
            <w:shd w:val="clear" w:color="auto" w:fill="auto"/>
            <w:noWrap/>
            <w:vAlign w:val="bottom"/>
          </w:tcPr>
          <w:p w14:paraId="7D8E9836" w14:textId="77777777" w:rsidR="00C87588" w:rsidRPr="00946CC3" w:rsidRDefault="00C87588" w:rsidP="00C87588">
            <w:pPr>
              <w:spacing w:after="0"/>
              <w:jc w:val="right"/>
              <w:rPr>
                <w:rFonts w:cs="Calibri"/>
                <w:b/>
                <w:color w:val="000000"/>
                <w:sz w:val="18"/>
                <w:szCs w:val="18"/>
              </w:rPr>
            </w:pPr>
            <w:r w:rsidRPr="00946CC3">
              <w:rPr>
                <w:rFonts w:cs="Calibri"/>
                <w:b/>
                <w:color w:val="000000"/>
                <w:sz w:val="18"/>
                <w:szCs w:val="18"/>
              </w:rPr>
              <w:t>5</w:t>
            </w:r>
            <w:r>
              <w:rPr>
                <w:rFonts w:cs="Calibri"/>
                <w:b/>
                <w:color w:val="000000"/>
                <w:sz w:val="18"/>
                <w:szCs w:val="18"/>
              </w:rPr>
              <w:t>2</w:t>
            </w:r>
            <w:r w:rsidRPr="00946CC3">
              <w:rPr>
                <w:rFonts w:cs="Calibri"/>
                <w:b/>
                <w:color w:val="000000"/>
                <w:sz w:val="18"/>
                <w:szCs w:val="18"/>
              </w:rPr>
              <w:t>.</w:t>
            </w:r>
            <w:r>
              <w:rPr>
                <w:rFonts w:cs="Calibri"/>
                <w:b/>
                <w:color w:val="000000"/>
                <w:sz w:val="18"/>
                <w:szCs w:val="18"/>
              </w:rPr>
              <w:t>8</w:t>
            </w:r>
            <w:r w:rsidRPr="00946CC3">
              <w:rPr>
                <w:rFonts w:cs="Calibri"/>
                <w:b/>
                <w:color w:val="000000"/>
                <w:sz w:val="18"/>
                <w:szCs w:val="18"/>
              </w:rPr>
              <w:t>58.607</w:t>
            </w:r>
          </w:p>
        </w:tc>
      </w:tr>
    </w:tbl>
    <w:p w14:paraId="55E5E30A" w14:textId="77777777" w:rsidR="00C87588" w:rsidRDefault="00C87588" w:rsidP="00C87588">
      <w:pPr>
        <w:jc w:val="both"/>
        <w:rPr>
          <w:rFonts w:ascii="Arial" w:hAnsi="Arial" w:cs="Arial"/>
          <w:b/>
          <w:sz w:val="20"/>
          <w:szCs w:val="20"/>
        </w:rPr>
      </w:pPr>
    </w:p>
    <w:p w14:paraId="6F43D1E5" w14:textId="77777777" w:rsidR="00C87588" w:rsidRDefault="00C87588" w:rsidP="00C87588">
      <w:pPr>
        <w:jc w:val="both"/>
        <w:rPr>
          <w:rFonts w:ascii="Arial" w:hAnsi="Arial" w:cs="Arial"/>
          <w:b/>
          <w:sz w:val="20"/>
          <w:szCs w:val="20"/>
        </w:rPr>
      </w:pPr>
    </w:p>
    <w:p w14:paraId="17D8212D" w14:textId="77777777" w:rsidR="00C87588" w:rsidRDefault="00C87588" w:rsidP="00C87588">
      <w:pPr>
        <w:jc w:val="both"/>
        <w:rPr>
          <w:rFonts w:ascii="Arial" w:eastAsia="Times New Roman" w:hAnsi="Arial"/>
          <w:b/>
          <w:sz w:val="20"/>
          <w:szCs w:val="24"/>
        </w:rPr>
      </w:pPr>
    </w:p>
    <w:p w14:paraId="597D6CE0" w14:textId="77777777" w:rsidR="00C87588" w:rsidRDefault="00C87588" w:rsidP="00C87588">
      <w:pPr>
        <w:rPr>
          <w:rFonts w:ascii="Arial" w:eastAsia="Times New Roman" w:hAnsi="Arial"/>
          <w:b/>
          <w:sz w:val="20"/>
          <w:szCs w:val="24"/>
        </w:rPr>
      </w:pPr>
      <w:r>
        <w:rPr>
          <w:rFonts w:ascii="Arial" w:eastAsia="Times New Roman" w:hAnsi="Arial"/>
          <w:b/>
          <w:sz w:val="20"/>
          <w:szCs w:val="24"/>
        </w:rPr>
        <w:br w:type="page"/>
      </w:r>
    </w:p>
    <w:p w14:paraId="3BC6A9B0" w14:textId="61114E9C" w:rsidR="00C87588" w:rsidRDefault="00C87588" w:rsidP="00C87588">
      <w:pPr>
        <w:jc w:val="both"/>
        <w:rPr>
          <w:b/>
        </w:rPr>
      </w:pPr>
      <w:r>
        <w:rPr>
          <w:rFonts w:ascii="Arial" w:eastAsia="Times New Roman" w:hAnsi="Arial"/>
          <w:b/>
          <w:sz w:val="20"/>
          <w:szCs w:val="24"/>
        </w:rPr>
        <w:lastRenderedPageBreak/>
        <w:t xml:space="preserve">Tabela 3: </w:t>
      </w:r>
      <w:r>
        <w:rPr>
          <w:b/>
        </w:rPr>
        <w:t>Preg</w:t>
      </w:r>
      <w:r w:rsidR="00FB706E">
        <w:rPr>
          <w:b/>
        </w:rPr>
        <w:t>led pravic porabe OP po skladih</w:t>
      </w:r>
    </w:p>
    <w:tbl>
      <w:tblPr>
        <w:tblW w:w="8542" w:type="dxa"/>
        <w:tblCellMar>
          <w:left w:w="70" w:type="dxa"/>
          <w:right w:w="70" w:type="dxa"/>
        </w:tblCellMar>
        <w:tblLook w:val="04A0" w:firstRow="1" w:lastRow="0" w:firstColumn="1" w:lastColumn="0" w:noHBand="0" w:noVBand="1"/>
      </w:tblPr>
      <w:tblGrid>
        <w:gridCol w:w="878"/>
        <w:gridCol w:w="878"/>
        <w:gridCol w:w="1291"/>
        <w:gridCol w:w="1264"/>
        <w:gridCol w:w="1397"/>
        <w:gridCol w:w="1597"/>
        <w:gridCol w:w="1237"/>
      </w:tblGrid>
      <w:tr w:rsidR="00C87588" w:rsidRPr="00824019" w14:paraId="29A77896" w14:textId="77777777" w:rsidTr="00C87588">
        <w:trPr>
          <w:trHeight w:val="240"/>
        </w:trPr>
        <w:tc>
          <w:tcPr>
            <w:tcW w:w="1756" w:type="dxa"/>
            <w:gridSpan w:val="2"/>
            <w:tcBorders>
              <w:top w:val="single" w:sz="2" w:space="0" w:color="auto"/>
              <w:left w:val="single" w:sz="2" w:space="0" w:color="auto"/>
              <w:bottom w:val="single" w:sz="2" w:space="0" w:color="auto"/>
              <w:right w:val="single" w:sz="2" w:space="0" w:color="auto"/>
            </w:tcBorders>
            <w:shd w:val="clear" w:color="auto" w:fill="auto"/>
            <w:noWrap/>
            <w:vAlign w:val="bottom"/>
            <w:hideMark/>
          </w:tcPr>
          <w:p w14:paraId="4F689662" w14:textId="77777777" w:rsidR="00C87588" w:rsidRPr="00824019" w:rsidRDefault="00C87588" w:rsidP="00C87588">
            <w:pPr>
              <w:spacing w:after="0" w:line="240" w:lineRule="auto"/>
              <w:ind w:hanging="2608"/>
              <w:rPr>
                <w:rFonts w:eastAsia="Times New Roman"/>
                <w:color w:val="000000"/>
                <w:sz w:val="16"/>
                <w:szCs w:val="16"/>
                <w:lang w:eastAsia="sl-SI"/>
              </w:rPr>
            </w:pPr>
          </w:p>
        </w:tc>
        <w:tc>
          <w:tcPr>
            <w:tcW w:w="1291"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14:paraId="7A5E1872" w14:textId="77777777" w:rsidR="00C87588" w:rsidRPr="007E4367" w:rsidRDefault="00C87588" w:rsidP="00C87588">
            <w:pPr>
              <w:spacing w:after="0" w:line="240" w:lineRule="auto"/>
              <w:jc w:val="center"/>
              <w:rPr>
                <w:rFonts w:eastAsia="Times New Roman"/>
                <w:color w:val="000000"/>
                <w:sz w:val="16"/>
                <w:szCs w:val="16"/>
                <w:highlight w:val="yellow"/>
                <w:lang w:eastAsia="sl-SI"/>
              </w:rPr>
            </w:pPr>
          </w:p>
        </w:tc>
        <w:tc>
          <w:tcPr>
            <w:tcW w:w="1264"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14:paraId="06DCCE5F" w14:textId="77777777" w:rsidR="00C87588" w:rsidRPr="00185532" w:rsidRDefault="00C87588" w:rsidP="00C87588">
            <w:pPr>
              <w:spacing w:after="0" w:line="240" w:lineRule="auto"/>
              <w:jc w:val="center"/>
              <w:rPr>
                <w:rFonts w:eastAsia="Times New Roman"/>
                <w:b/>
                <w:bCs/>
                <w:color w:val="000000"/>
                <w:sz w:val="16"/>
                <w:szCs w:val="16"/>
                <w:lang w:eastAsia="sl-SI"/>
              </w:rPr>
            </w:pPr>
            <w:r w:rsidRPr="00185532">
              <w:rPr>
                <w:rFonts w:eastAsia="Times New Roman"/>
                <w:b/>
                <w:bCs/>
                <w:color w:val="000000"/>
                <w:sz w:val="16"/>
                <w:szCs w:val="16"/>
                <w:lang w:eastAsia="sl-SI"/>
              </w:rPr>
              <w:t>Veljavni OP</w:t>
            </w:r>
          </w:p>
        </w:tc>
        <w:tc>
          <w:tcPr>
            <w:tcW w:w="139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14:paraId="5FE5B6DA" w14:textId="0FFB71A2" w:rsidR="00C87588" w:rsidRPr="00824019" w:rsidRDefault="000A2550" w:rsidP="000A2550">
            <w:pPr>
              <w:spacing w:after="0" w:line="240" w:lineRule="auto"/>
              <w:jc w:val="center"/>
              <w:rPr>
                <w:rFonts w:eastAsia="Times New Roman"/>
                <w:b/>
                <w:bCs/>
                <w:color w:val="000000"/>
                <w:sz w:val="16"/>
                <w:szCs w:val="16"/>
                <w:lang w:eastAsia="sl-SI"/>
              </w:rPr>
            </w:pPr>
            <w:r>
              <w:rPr>
                <w:rFonts w:eastAsia="Times New Roman"/>
                <w:b/>
                <w:bCs/>
                <w:color w:val="000000"/>
                <w:sz w:val="16"/>
                <w:szCs w:val="16"/>
                <w:lang w:eastAsia="sl-SI"/>
              </w:rPr>
              <w:t>Po s</w:t>
            </w:r>
            <w:r w:rsidR="00185532">
              <w:rPr>
                <w:rFonts w:eastAsia="Times New Roman"/>
                <w:b/>
                <w:bCs/>
                <w:color w:val="000000"/>
                <w:sz w:val="16"/>
                <w:szCs w:val="16"/>
                <w:lang w:eastAsia="sl-SI"/>
              </w:rPr>
              <w:t>premembi</w:t>
            </w:r>
            <w:r w:rsidR="00C87588" w:rsidRPr="00824019">
              <w:rPr>
                <w:rFonts w:eastAsia="Times New Roman"/>
                <w:b/>
                <w:bCs/>
                <w:color w:val="000000"/>
                <w:sz w:val="16"/>
                <w:szCs w:val="16"/>
                <w:lang w:eastAsia="sl-SI"/>
              </w:rPr>
              <w:t xml:space="preserve"> OP</w:t>
            </w:r>
          </w:p>
        </w:tc>
        <w:tc>
          <w:tcPr>
            <w:tcW w:w="159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14:paraId="0AA4A6B6" w14:textId="77777777" w:rsidR="00C87588" w:rsidRPr="00824019" w:rsidRDefault="00C87588" w:rsidP="00C87588">
            <w:pPr>
              <w:spacing w:after="0" w:line="240" w:lineRule="auto"/>
              <w:jc w:val="center"/>
              <w:rPr>
                <w:rFonts w:eastAsia="Times New Roman"/>
                <w:b/>
                <w:bCs/>
                <w:color w:val="000000"/>
                <w:sz w:val="16"/>
                <w:szCs w:val="16"/>
                <w:lang w:eastAsia="sl-SI"/>
              </w:rPr>
            </w:pPr>
            <w:r w:rsidRPr="00824019">
              <w:rPr>
                <w:rFonts w:eastAsia="Times New Roman"/>
                <w:b/>
                <w:bCs/>
                <w:color w:val="000000"/>
                <w:sz w:val="16"/>
                <w:szCs w:val="16"/>
                <w:lang w:eastAsia="sl-SI"/>
              </w:rPr>
              <w:t>Razlika (</w:t>
            </w:r>
            <w:r>
              <w:rPr>
                <w:rFonts w:eastAsia="Times New Roman"/>
                <w:b/>
                <w:bCs/>
                <w:color w:val="000000"/>
                <w:sz w:val="16"/>
                <w:szCs w:val="16"/>
                <w:lang w:eastAsia="sl-SI"/>
              </w:rPr>
              <w:t>evrov</w:t>
            </w:r>
            <w:r w:rsidRPr="00824019">
              <w:rPr>
                <w:rFonts w:eastAsia="Times New Roman"/>
                <w:b/>
                <w:bCs/>
                <w:color w:val="000000"/>
                <w:sz w:val="16"/>
                <w:szCs w:val="16"/>
                <w:lang w:eastAsia="sl-SI"/>
              </w:rPr>
              <w:t>)</w:t>
            </w:r>
          </w:p>
        </w:tc>
        <w:tc>
          <w:tcPr>
            <w:tcW w:w="123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14:paraId="699C3B9A" w14:textId="77777777" w:rsidR="00C87588" w:rsidRPr="00824019" w:rsidRDefault="00C87588" w:rsidP="00C87588">
            <w:pPr>
              <w:spacing w:after="0" w:line="240" w:lineRule="auto"/>
              <w:jc w:val="center"/>
              <w:rPr>
                <w:rFonts w:eastAsia="Times New Roman"/>
                <w:b/>
                <w:bCs/>
                <w:color w:val="000000"/>
                <w:sz w:val="16"/>
                <w:szCs w:val="16"/>
                <w:lang w:eastAsia="sl-SI"/>
              </w:rPr>
            </w:pPr>
            <w:r w:rsidRPr="00824019">
              <w:rPr>
                <w:rFonts w:eastAsia="Times New Roman"/>
                <w:b/>
                <w:bCs/>
                <w:color w:val="000000"/>
                <w:sz w:val="16"/>
                <w:szCs w:val="16"/>
                <w:lang w:eastAsia="sl-SI"/>
              </w:rPr>
              <w:t>Razlika</w:t>
            </w:r>
          </w:p>
        </w:tc>
      </w:tr>
      <w:tr w:rsidR="00185532" w:rsidRPr="00824019" w14:paraId="47846B5E" w14:textId="77777777" w:rsidTr="00185532">
        <w:trPr>
          <w:trHeight w:val="240"/>
        </w:trPr>
        <w:tc>
          <w:tcPr>
            <w:tcW w:w="1756" w:type="dxa"/>
            <w:gridSpan w:val="2"/>
            <w:vMerge w:val="restart"/>
            <w:tcBorders>
              <w:top w:val="single" w:sz="2" w:space="0" w:color="auto"/>
              <w:left w:val="single" w:sz="8" w:space="0" w:color="auto"/>
              <w:bottom w:val="single" w:sz="8" w:space="0" w:color="000000"/>
              <w:right w:val="single" w:sz="8" w:space="0" w:color="000000"/>
            </w:tcBorders>
            <w:shd w:val="clear" w:color="auto" w:fill="auto"/>
            <w:vAlign w:val="center"/>
            <w:hideMark/>
          </w:tcPr>
          <w:p w14:paraId="18C9CCB7" w14:textId="77777777" w:rsidR="00185532" w:rsidRPr="00824019" w:rsidRDefault="00185532" w:rsidP="00C87588">
            <w:pPr>
              <w:spacing w:after="0" w:line="240" w:lineRule="auto"/>
              <w:jc w:val="center"/>
              <w:rPr>
                <w:rFonts w:eastAsia="Times New Roman"/>
                <w:b/>
                <w:bCs/>
                <w:color w:val="000000"/>
                <w:sz w:val="16"/>
                <w:szCs w:val="16"/>
                <w:lang w:eastAsia="sl-SI"/>
              </w:rPr>
            </w:pPr>
            <w:r w:rsidRPr="00824019">
              <w:rPr>
                <w:rFonts w:eastAsia="Times New Roman"/>
                <w:b/>
                <w:bCs/>
                <w:color w:val="000000"/>
                <w:sz w:val="16"/>
                <w:szCs w:val="16"/>
                <w:lang w:eastAsia="sl-SI"/>
              </w:rPr>
              <w:t>ESRR</w:t>
            </w:r>
          </w:p>
        </w:tc>
        <w:tc>
          <w:tcPr>
            <w:tcW w:w="1291" w:type="dxa"/>
            <w:tcBorders>
              <w:top w:val="single" w:sz="2" w:space="0" w:color="auto"/>
              <w:left w:val="nil"/>
              <w:bottom w:val="single" w:sz="4" w:space="0" w:color="auto"/>
              <w:right w:val="single" w:sz="8" w:space="0" w:color="auto"/>
            </w:tcBorders>
            <w:shd w:val="clear" w:color="auto" w:fill="auto"/>
            <w:noWrap/>
            <w:vAlign w:val="center"/>
            <w:hideMark/>
          </w:tcPr>
          <w:p w14:paraId="10BF4121" w14:textId="77777777" w:rsidR="00185532" w:rsidRPr="00824019" w:rsidRDefault="00185532" w:rsidP="00C87588">
            <w:pPr>
              <w:spacing w:after="0" w:line="240" w:lineRule="auto"/>
              <w:jc w:val="center"/>
              <w:rPr>
                <w:rFonts w:eastAsia="Times New Roman"/>
                <w:color w:val="000000"/>
                <w:sz w:val="16"/>
                <w:szCs w:val="16"/>
                <w:lang w:eastAsia="sl-SI"/>
              </w:rPr>
            </w:pPr>
            <w:r w:rsidRPr="00824019">
              <w:rPr>
                <w:rFonts w:eastAsia="Times New Roman"/>
                <w:color w:val="000000"/>
                <w:sz w:val="16"/>
                <w:szCs w:val="16"/>
                <w:lang w:eastAsia="sl-SI"/>
              </w:rPr>
              <w:t>Vzhodna</w:t>
            </w:r>
          </w:p>
        </w:tc>
        <w:tc>
          <w:tcPr>
            <w:tcW w:w="1264" w:type="dxa"/>
            <w:tcBorders>
              <w:top w:val="single" w:sz="2" w:space="0" w:color="auto"/>
              <w:left w:val="nil"/>
              <w:bottom w:val="single" w:sz="4" w:space="0" w:color="auto"/>
              <w:right w:val="single" w:sz="4" w:space="0" w:color="auto"/>
            </w:tcBorders>
            <w:shd w:val="clear" w:color="auto" w:fill="auto"/>
            <w:noWrap/>
            <w:vAlign w:val="center"/>
          </w:tcPr>
          <w:p w14:paraId="14324EC1" w14:textId="3059D681" w:rsidR="00185532" w:rsidRPr="00185532" w:rsidRDefault="00185532" w:rsidP="00C87588">
            <w:pPr>
              <w:spacing w:after="0" w:line="240" w:lineRule="auto"/>
              <w:jc w:val="right"/>
              <w:rPr>
                <w:rFonts w:eastAsia="Times New Roman"/>
                <w:color w:val="000000"/>
                <w:sz w:val="16"/>
                <w:szCs w:val="16"/>
                <w:lang w:eastAsia="sl-SI"/>
              </w:rPr>
            </w:pPr>
            <w:r w:rsidRPr="00185532">
              <w:rPr>
                <w:color w:val="000000"/>
                <w:sz w:val="16"/>
                <w:szCs w:val="16"/>
              </w:rPr>
              <w:t>882.015.244</w:t>
            </w:r>
          </w:p>
        </w:tc>
        <w:tc>
          <w:tcPr>
            <w:tcW w:w="1397" w:type="dxa"/>
            <w:tcBorders>
              <w:top w:val="single" w:sz="2" w:space="0" w:color="auto"/>
              <w:left w:val="nil"/>
              <w:bottom w:val="single" w:sz="4" w:space="0" w:color="auto"/>
              <w:right w:val="single" w:sz="4" w:space="0" w:color="auto"/>
            </w:tcBorders>
            <w:shd w:val="clear" w:color="auto" w:fill="auto"/>
            <w:noWrap/>
            <w:vAlign w:val="center"/>
          </w:tcPr>
          <w:p w14:paraId="69040BB1" w14:textId="49A4F54C" w:rsidR="00185532" w:rsidRPr="00824019" w:rsidRDefault="00185532" w:rsidP="00C87588">
            <w:pPr>
              <w:spacing w:after="0" w:line="240" w:lineRule="auto"/>
              <w:jc w:val="right"/>
              <w:rPr>
                <w:rFonts w:eastAsia="Times New Roman"/>
                <w:color w:val="000000"/>
                <w:sz w:val="16"/>
                <w:szCs w:val="16"/>
                <w:lang w:eastAsia="sl-SI"/>
              </w:rPr>
            </w:pPr>
            <w:r w:rsidRPr="00185532">
              <w:rPr>
                <w:rFonts w:eastAsia="Times New Roman"/>
                <w:color w:val="000000"/>
                <w:sz w:val="16"/>
                <w:szCs w:val="16"/>
                <w:lang w:eastAsia="sl-SI"/>
              </w:rPr>
              <w:t>907.392.844</w:t>
            </w:r>
          </w:p>
        </w:tc>
        <w:tc>
          <w:tcPr>
            <w:tcW w:w="1597" w:type="dxa"/>
            <w:tcBorders>
              <w:top w:val="single" w:sz="2" w:space="0" w:color="auto"/>
              <w:left w:val="nil"/>
              <w:bottom w:val="single" w:sz="4" w:space="0" w:color="auto"/>
              <w:right w:val="single" w:sz="4" w:space="0" w:color="auto"/>
            </w:tcBorders>
            <w:shd w:val="clear" w:color="auto" w:fill="auto"/>
            <w:noWrap/>
            <w:vAlign w:val="center"/>
            <w:hideMark/>
          </w:tcPr>
          <w:p w14:paraId="5B416D60" w14:textId="77777777" w:rsidR="00185532" w:rsidRPr="00824019" w:rsidRDefault="00185532" w:rsidP="00C87588">
            <w:pPr>
              <w:spacing w:after="0" w:line="240" w:lineRule="auto"/>
              <w:jc w:val="right"/>
              <w:rPr>
                <w:rFonts w:eastAsia="Times New Roman"/>
                <w:color w:val="000000"/>
                <w:sz w:val="16"/>
                <w:szCs w:val="16"/>
                <w:lang w:eastAsia="sl-SI"/>
              </w:rPr>
            </w:pPr>
            <w:r>
              <w:rPr>
                <w:color w:val="000000"/>
                <w:sz w:val="16"/>
                <w:szCs w:val="16"/>
              </w:rPr>
              <w:t>25.377.600</w:t>
            </w:r>
          </w:p>
        </w:tc>
        <w:tc>
          <w:tcPr>
            <w:tcW w:w="1237" w:type="dxa"/>
            <w:tcBorders>
              <w:top w:val="single" w:sz="2" w:space="0" w:color="auto"/>
              <w:left w:val="nil"/>
              <w:bottom w:val="single" w:sz="4" w:space="0" w:color="auto"/>
              <w:right w:val="single" w:sz="8" w:space="0" w:color="auto"/>
            </w:tcBorders>
            <w:shd w:val="clear" w:color="auto" w:fill="auto"/>
            <w:noWrap/>
            <w:vAlign w:val="center"/>
            <w:hideMark/>
          </w:tcPr>
          <w:p w14:paraId="780DE12D" w14:textId="77777777" w:rsidR="00185532" w:rsidRPr="00824019" w:rsidRDefault="00185532" w:rsidP="00C87588">
            <w:pPr>
              <w:spacing w:after="0" w:line="240" w:lineRule="auto"/>
              <w:jc w:val="right"/>
              <w:rPr>
                <w:rFonts w:eastAsia="Times New Roman"/>
                <w:color w:val="000000"/>
                <w:sz w:val="16"/>
                <w:szCs w:val="16"/>
                <w:lang w:eastAsia="sl-SI"/>
              </w:rPr>
            </w:pPr>
            <w:r>
              <w:rPr>
                <w:color w:val="000000"/>
                <w:sz w:val="16"/>
                <w:szCs w:val="16"/>
              </w:rPr>
              <w:t>102,88%</w:t>
            </w:r>
          </w:p>
        </w:tc>
      </w:tr>
      <w:tr w:rsidR="00185532" w:rsidRPr="00824019" w14:paraId="1B49ABBD" w14:textId="77777777" w:rsidTr="00185532">
        <w:trPr>
          <w:trHeight w:val="285"/>
        </w:trPr>
        <w:tc>
          <w:tcPr>
            <w:tcW w:w="1756" w:type="dxa"/>
            <w:gridSpan w:val="2"/>
            <w:vMerge/>
            <w:tcBorders>
              <w:top w:val="single" w:sz="8" w:space="0" w:color="auto"/>
              <w:left w:val="single" w:sz="8" w:space="0" w:color="auto"/>
              <w:bottom w:val="single" w:sz="8" w:space="0" w:color="000000"/>
              <w:right w:val="single" w:sz="8" w:space="0" w:color="000000"/>
            </w:tcBorders>
            <w:vAlign w:val="center"/>
            <w:hideMark/>
          </w:tcPr>
          <w:p w14:paraId="3E17BDE7" w14:textId="77777777" w:rsidR="00185532" w:rsidRPr="00824019" w:rsidRDefault="00185532" w:rsidP="00C87588">
            <w:pPr>
              <w:spacing w:after="0" w:line="240" w:lineRule="auto"/>
              <w:rPr>
                <w:rFonts w:eastAsia="Times New Roman"/>
                <w:b/>
                <w:bCs/>
                <w:color w:val="000000"/>
                <w:sz w:val="16"/>
                <w:szCs w:val="16"/>
                <w:lang w:eastAsia="sl-SI"/>
              </w:rPr>
            </w:pPr>
          </w:p>
        </w:tc>
        <w:tc>
          <w:tcPr>
            <w:tcW w:w="1291" w:type="dxa"/>
            <w:tcBorders>
              <w:top w:val="nil"/>
              <w:left w:val="nil"/>
              <w:bottom w:val="single" w:sz="8" w:space="0" w:color="auto"/>
              <w:right w:val="single" w:sz="8" w:space="0" w:color="auto"/>
            </w:tcBorders>
            <w:shd w:val="clear" w:color="auto" w:fill="auto"/>
            <w:noWrap/>
            <w:vAlign w:val="center"/>
            <w:hideMark/>
          </w:tcPr>
          <w:p w14:paraId="2FDD2F12" w14:textId="77777777" w:rsidR="00185532" w:rsidRPr="00824019" w:rsidRDefault="00185532" w:rsidP="00C87588">
            <w:pPr>
              <w:spacing w:after="0" w:line="240" w:lineRule="auto"/>
              <w:jc w:val="center"/>
              <w:rPr>
                <w:rFonts w:eastAsia="Times New Roman"/>
                <w:color w:val="000000"/>
                <w:sz w:val="16"/>
                <w:szCs w:val="16"/>
                <w:lang w:eastAsia="sl-SI"/>
              </w:rPr>
            </w:pPr>
            <w:r w:rsidRPr="00824019">
              <w:rPr>
                <w:rFonts w:eastAsia="Times New Roman"/>
                <w:color w:val="000000"/>
                <w:sz w:val="16"/>
                <w:szCs w:val="16"/>
                <w:lang w:eastAsia="sl-SI"/>
              </w:rPr>
              <w:t>Zahodna</w:t>
            </w:r>
          </w:p>
        </w:tc>
        <w:tc>
          <w:tcPr>
            <w:tcW w:w="1264" w:type="dxa"/>
            <w:tcBorders>
              <w:top w:val="nil"/>
              <w:left w:val="nil"/>
              <w:bottom w:val="single" w:sz="4" w:space="0" w:color="auto"/>
              <w:right w:val="single" w:sz="4" w:space="0" w:color="auto"/>
            </w:tcBorders>
            <w:shd w:val="clear" w:color="auto" w:fill="auto"/>
            <w:noWrap/>
            <w:vAlign w:val="center"/>
          </w:tcPr>
          <w:p w14:paraId="53638B72" w14:textId="0186DACC" w:rsidR="00185532" w:rsidRPr="00185532" w:rsidRDefault="00185532" w:rsidP="00C87588">
            <w:pPr>
              <w:spacing w:after="0" w:line="240" w:lineRule="auto"/>
              <w:jc w:val="right"/>
              <w:rPr>
                <w:rFonts w:eastAsia="Times New Roman"/>
                <w:color w:val="000000"/>
                <w:sz w:val="16"/>
                <w:szCs w:val="16"/>
                <w:lang w:eastAsia="sl-SI"/>
              </w:rPr>
            </w:pPr>
            <w:r w:rsidRPr="00185532">
              <w:rPr>
                <w:color w:val="000000"/>
                <w:sz w:val="16"/>
                <w:szCs w:val="16"/>
              </w:rPr>
              <w:t>508.377.655</w:t>
            </w:r>
          </w:p>
        </w:tc>
        <w:tc>
          <w:tcPr>
            <w:tcW w:w="1397" w:type="dxa"/>
            <w:tcBorders>
              <w:top w:val="nil"/>
              <w:left w:val="nil"/>
              <w:bottom w:val="single" w:sz="4" w:space="0" w:color="auto"/>
              <w:right w:val="single" w:sz="4" w:space="0" w:color="auto"/>
            </w:tcBorders>
            <w:shd w:val="clear" w:color="auto" w:fill="auto"/>
            <w:noWrap/>
            <w:vAlign w:val="center"/>
          </w:tcPr>
          <w:p w14:paraId="2CE98050" w14:textId="5863426B" w:rsidR="00185532" w:rsidRPr="00824019" w:rsidRDefault="00185532" w:rsidP="00C87588">
            <w:pPr>
              <w:spacing w:after="0" w:line="240" w:lineRule="auto"/>
              <w:jc w:val="right"/>
              <w:rPr>
                <w:rFonts w:eastAsia="Times New Roman"/>
                <w:color w:val="000000"/>
                <w:sz w:val="16"/>
                <w:szCs w:val="16"/>
                <w:lang w:eastAsia="sl-SI"/>
              </w:rPr>
            </w:pPr>
            <w:r w:rsidRPr="00185532">
              <w:rPr>
                <w:rFonts w:eastAsia="Times New Roman"/>
                <w:color w:val="000000"/>
                <w:sz w:val="16"/>
                <w:szCs w:val="16"/>
                <w:lang w:eastAsia="sl-SI"/>
              </w:rPr>
              <w:t>509.292.519</w:t>
            </w:r>
          </w:p>
        </w:tc>
        <w:tc>
          <w:tcPr>
            <w:tcW w:w="1597" w:type="dxa"/>
            <w:tcBorders>
              <w:top w:val="nil"/>
              <w:left w:val="nil"/>
              <w:bottom w:val="single" w:sz="4" w:space="0" w:color="auto"/>
              <w:right w:val="single" w:sz="4" w:space="0" w:color="auto"/>
            </w:tcBorders>
            <w:shd w:val="clear" w:color="auto" w:fill="auto"/>
            <w:noWrap/>
            <w:vAlign w:val="center"/>
            <w:hideMark/>
          </w:tcPr>
          <w:p w14:paraId="14EC461F" w14:textId="77777777" w:rsidR="00185532" w:rsidRPr="00824019" w:rsidRDefault="00185532" w:rsidP="00C87588">
            <w:pPr>
              <w:spacing w:after="0" w:line="240" w:lineRule="auto"/>
              <w:jc w:val="right"/>
              <w:rPr>
                <w:rFonts w:eastAsia="Times New Roman"/>
                <w:color w:val="000000"/>
                <w:sz w:val="16"/>
                <w:szCs w:val="16"/>
                <w:lang w:eastAsia="sl-SI"/>
              </w:rPr>
            </w:pPr>
            <w:r>
              <w:rPr>
                <w:color w:val="000000"/>
                <w:sz w:val="16"/>
                <w:szCs w:val="16"/>
              </w:rPr>
              <w:t>914.864</w:t>
            </w:r>
          </w:p>
        </w:tc>
        <w:tc>
          <w:tcPr>
            <w:tcW w:w="1237" w:type="dxa"/>
            <w:tcBorders>
              <w:top w:val="nil"/>
              <w:left w:val="nil"/>
              <w:bottom w:val="single" w:sz="4" w:space="0" w:color="auto"/>
              <w:right w:val="single" w:sz="8" w:space="0" w:color="auto"/>
            </w:tcBorders>
            <w:shd w:val="clear" w:color="auto" w:fill="auto"/>
            <w:noWrap/>
            <w:vAlign w:val="center"/>
            <w:hideMark/>
          </w:tcPr>
          <w:p w14:paraId="474ACA8F" w14:textId="77777777" w:rsidR="00185532" w:rsidRPr="00824019" w:rsidRDefault="00185532" w:rsidP="00C87588">
            <w:pPr>
              <w:spacing w:after="0" w:line="240" w:lineRule="auto"/>
              <w:jc w:val="right"/>
              <w:rPr>
                <w:rFonts w:eastAsia="Times New Roman"/>
                <w:color w:val="000000"/>
                <w:sz w:val="16"/>
                <w:szCs w:val="16"/>
                <w:lang w:eastAsia="sl-SI"/>
              </w:rPr>
            </w:pPr>
            <w:r>
              <w:rPr>
                <w:color w:val="000000"/>
                <w:sz w:val="16"/>
                <w:szCs w:val="16"/>
              </w:rPr>
              <w:t>100,18%</w:t>
            </w:r>
          </w:p>
        </w:tc>
      </w:tr>
      <w:tr w:rsidR="00185532" w:rsidRPr="00824019" w14:paraId="4F98FB15" w14:textId="77777777" w:rsidTr="00185532">
        <w:trPr>
          <w:trHeight w:val="240"/>
        </w:trPr>
        <w:tc>
          <w:tcPr>
            <w:tcW w:w="3047" w:type="dxa"/>
            <w:gridSpan w:val="3"/>
            <w:tcBorders>
              <w:top w:val="single" w:sz="8" w:space="0" w:color="auto"/>
              <w:left w:val="single" w:sz="8" w:space="0" w:color="auto"/>
              <w:bottom w:val="single" w:sz="8" w:space="0" w:color="auto"/>
              <w:right w:val="single" w:sz="8" w:space="0" w:color="000000"/>
            </w:tcBorders>
            <w:shd w:val="clear" w:color="000000" w:fill="EEECE1"/>
            <w:vAlign w:val="center"/>
            <w:hideMark/>
          </w:tcPr>
          <w:p w14:paraId="744E38B0" w14:textId="77777777" w:rsidR="00185532" w:rsidRPr="00824019" w:rsidRDefault="00185532" w:rsidP="00C87588">
            <w:pPr>
              <w:spacing w:after="0" w:line="240" w:lineRule="auto"/>
              <w:jc w:val="center"/>
              <w:rPr>
                <w:rFonts w:eastAsia="Times New Roman"/>
                <w:b/>
                <w:bCs/>
                <w:color w:val="000000"/>
                <w:sz w:val="16"/>
                <w:szCs w:val="16"/>
                <w:lang w:eastAsia="sl-SI"/>
              </w:rPr>
            </w:pPr>
            <w:r w:rsidRPr="00824019">
              <w:rPr>
                <w:rFonts w:eastAsia="Times New Roman"/>
                <w:b/>
                <w:bCs/>
                <w:color w:val="000000"/>
                <w:sz w:val="16"/>
                <w:szCs w:val="16"/>
                <w:lang w:eastAsia="sl-SI"/>
              </w:rPr>
              <w:t>Skupaj ESRR</w:t>
            </w:r>
          </w:p>
        </w:tc>
        <w:tc>
          <w:tcPr>
            <w:tcW w:w="1264" w:type="dxa"/>
            <w:tcBorders>
              <w:top w:val="nil"/>
              <w:left w:val="nil"/>
              <w:bottom w:val="single" w:sz="4" w:space="0" w:color="auto"/>
              <w:right w:val="single" w:sz="4" w:space="0" w:color="auto"/>
            </w:tcBorders>
            <w:shd w:val="clear" w:color="000000" w:fill="EEECE1"/>
            <w:noWrap/>
            <w:vAlign w:val="bottom"/>
          </w:tcPr>
          <w:p w14:paraId="77E1BFA1" w14:textId="76864088" w:rsidR="00185532" w:rsidRPr="00185532" w:rsidRDefault="00185532" w:rsidP="00C87588">
            <w:pPr>
              <w:spacing w:after="0" w:line="240" w:lineRule="auto"/>
              <w:jc w:val="right"/>
              <w:rPr>
                <w:rFonts w:eastAsia="Times New Roman"/>
                <w:b/>
                <w:bCs/>
                <w:color w:val="000000"/>
                <w:sz w:val="16"/>
                <w:szCs w:val="16"/>
                <w:lang w:eastAsia="sl-SI"/>
              </w:rPr>
            </w:pPr>
            <w:r w:rsidRPr="00185532">
              <w:rPr>
                <w:b/>
                <w:bCs/>
                <w:color w:val="000000"/>
                <w:sz w:val="16"/>
                <w:szCs w:val="16"/>
              </w:rPr>
              <w:t>1.390.392.899</w:t>
            </w:r>
          </w:p>
        </w:tc>
        <w:tc>
          <w:tcPr>
            <w:tcW w:w="1397" w:type="dxa"/>
            <w:tcBorders>
              <w:top w:val="single" w:sz="4" w:space="0" w:color="auto"/>
              <w:left w:val="single" w:sz="4" w:space="0" w:color="auto"/>
              <w:bottom w:val="single" w:sz="4" w:space="0" w:color="auto"/>
              <w:right w:val="single" w:sz="4" w:space="0" w:color="auto"/>
            </w:tcBorders>
            <w:shd w:val="clear" w:color="000000" w:fill="EEECE1"/>
            <w:noWrap/>
            <w:vAlign w:val="center"/>
          </w:tcPr>
          <w:p w14:paraId="2A8181E5" w14:textId="2C3C6860" w:rsidR="00185532" w:rsidRPr="00824019" w:rsidRDefault="00185532" w:rsidP="00C87588">
            <w:pPr>
              <w:spacing w:after="0" w:line="240" w:lineRule="auto"/>
              <w:jc w:val="right"/>
              <w:rPr>
                <w:rFonts w:eastAsia="Times New Roman"/>
                <w:b/>
                <w:bCs/>
                <w:color w:val="000000"/>
                <w:sz w:val="16"/>
                <w:szCs w:val="16"/>
                <w:lang w:eastAsia="sl-SI"/>
              </w:rPr>
            </w:pPr>
            <w:r w:rsidRPr="00185532">
              <w:rPr>
                <w:rFonts w:eastAsia="Times New Roman"/>
                <w:b/>
                <w:bCs/>
                <w:color w:val="000000"/>
                <w:sz w:val="16"/>
                <w:szCs w:val="16"/>
                <w:lang w:eastAsia="sl-SI"/>
              </w:rPr>
              <w:t>1.416.685.363</w:t>
            </w:r>
          </w:p>
        </w:tc>
        <w:tc>
          <w:tcPr>
            <w:tcW w:w="1597" w:type="dxa"/>
            <w:tcBorders>
              <w:top w:val="nil"/>
              <w:left w:val="nil"/>
              <w:bottom w:val="single" w:sz="4" w:space="0" w:color="auto"/>
              <w:right w:val="single" w:sz="4" w:space="0" w:color="auto"/>
            </w:tcBorders>
            <w:shd w:val="clear" w:color="000000" w:fill="EEECE1"/>
            <w:noWrap/>
            <w:vAlign w:val="center"/>
            <w:hideMark/>
          </w:tcPr>
          <w:p w14:paraId="4560F227" w14:textId="2EB46DEA" w:rsidR="00185532" w:rsidRPr="00824019" w:rsidRDefault="00932B46" w:rsidP="00C87588">
            <w:pPr>
              <w:spacing w:after="0" w:line="240" w:lineRule="auto"/>
              <w:jc w:val="right"/>
              <w:rPr>
                <w:rFonts w:eastAsia="Times New Roman"/>
                <w:b/>
                <w:bCs/>
                <w:color w:val="000000"/>
                <w:sz w:val="16"/>
                <w:szCs w:val="16"/>
                <w:lang w:eastAsia="sl-SI"/>
              </w:rPr>
            </w:pPr>
            <w:r>
              <w:rPr>
                <w:b/>
                <w:bCs/>
                <w:color w:val="000000"/>
                <w:sz w:val="16"/>
                <w:szCs w:val="16"/>
              </w:rPr>
              <w:t>26.292.464</w:t>
            </w:r>
          </w:p>
        </w:tc>
        <w:tc>
          <w:tcPr>
            <w:tcW w:w="1237" w:type="dxa"/>
            <w:tcBorders>
              <w:top w:val="nil"/>
              <w:left w:val="nil"/>
              <w:bottom w:val="single" w:sz="4" w:space="0" w:color="auto"/>
              <w:right w:val="single" w:sz="8" w:space="0" w:color="auto"/>
            </w:tcBorders>
            <w:shd w:val="clear" w:color="000000" w:fill="EEECE1"/>
            <w:noWrap/>
            <w:vAlign w:val="center"/>
            <w:hideMark/>
          </w:tcPr>
          <w:p w14:paraId="33369258" w14:textId="25D2B9F8" w:rsidR="00185532" w:rsidRPr="00824019" w:rsidRDefault="00932B46" w:rsidP="00C87588">
            <w:pPr>
              <w:spacing w:after="0" w:line="240" w:lineRule="auto"/>
              <w:jc w:val="right"/>
              <w:rPr>
                <w:rFonts w:eastAsia="Times New Roman"/>
                <w:b/>
                <w:bCs/>
                <w:color w:val="000000"/>
                <w:sz w:val="16"/>
                <w:szCs w:val="16"/>
                <w:lang w:eastAsia="sl-SI"/>
              </w:rPr>
            </w:pPr>
            <w:r>
              <w:rPr>
                <w:rFonts w:eastAsia="Times New Roman"/>
                <w:b/>
                <w:bCs/>
                <w:color w:val="000000"/>
                <w:sz w:val="16"/>
                <w:szCs w:val="16"/>
                <w:lang w:eastAsia="sl-SI"/>
              </w:rPr>
              <w:t>101,89%</w:t>
            </w:r>
          </w:p>
        </w:tc>
      </w:tr>
      <w:tr w:rsidR="00185532" w:rsidRPr="00824019" w14:paraId="6AE6C5C3" w14:textId="77777777" w:rsidTr="00185532">
        <w:trPr>
          <w:trHeight w:val="255"/>
        </w:trPr>
        <w:tc>
          <w:tcPr>
            <w:tcW w:w="1756" w:type="dxa"/>
            <w:gridSpan w:val="2"/>
            <w:vMerge w:val="restart"/>
            <w:tcBorders>
              <w:top w:val="single" w:sz="8" w:space="0" w:color="auto"/>
              <w:left w:val="single" w:sz="8" w:space="0" w:color="auto"/>
              <w:bottom w:val="single" w:sz="4" w:space="0" w:color="auto"/>
              <w:right w:val="single" w:sz="8" w:space="0" w:color="000000"/>
            </w:tcBorders>
            <w:shd w:val="clear" w:color="auto" w:fill="auto"/>
            <w:vAlign w:val="center"/>
            <w:hideMark/>
          </w:tcPr>
          <w:p w14:paraId="3AE5288D" w14:textId="77777777" w:rsidR="00185532" w:rsidRPr="00824019" w:rsidRDefault="00185532" w:rsidP="00C87588">
            <w:pPr>
              <w:spacing w:after="0" w:line="240" w:lineRule="auto"/>
              <w:jc w:val="center"/>
              <w:rPr>
                <w:rFonts w:eastAsia="Times New Roman"/>
                <w:b/>
                <w:bCs/>
                <w:color w:val="000000"/>
                <w:sz w:val="16"/>
                <w:szCs w:val="16"/>
                <w:lang w:eastAsia="sl-SI"/>
              </w:rPr>
            </w:pPr>
            <w:r w:rsidRPr="00824019">
              <w:rPr>
                <w:rFonts w:eastAsia="Times New Roman"/>
                <w:b/>
                <w:bCs/>
                <w:color w:val="000000"/>
                <w:sz w:val="16"/>
                <w:szCs w:val="16"/>
                <w:lang w:eastAsia="sl-SI"/>
              </w:rPr>
              <w:t>ESS</w:t>
            </w:r>
          </w:p>
        </w:tc>
        <w:tc>
          <w:tcPr>
            <w:tcW w:w="1291" w:type="dxa"/>
            <w:tcBorders>
              <w:top w:val="nil"/>
              <w:left w:val="nil"/>
              <w:bottom w:val="single" w:sz="4" w:space="0" w:color="auto"/>
              <w:right w:val="single" w:sz="8" w:space="0" w:color="auto"/>
            </w:tcBorders>
            <w:shd w:val="clear" w:color="auto" w:fill="auto"/>
            <w:noWrap/>
            <w:vAlign w:val="center"/>
            <w:hideMark/>
          </w:tcPr>
          <w:p w14:paraId="04516D7C" w14:textId="77777777" w:rsidR="00185532" w:rsidRPr="00824019" w:rsidRDefault="00185532" w:rsidP="00C87588">
            <w:pPr>
              <w:spacing w:after="0" w:line="240" w:lineRule="auto"/>
              <w:jc w:val="center"/>
              <w:rPr>
                <w:rFonts w:eastAsia="Times New Roman"/>
                <w:color w:val="000000"/>
                <w:sz w:val="16"/>
                <w:szCs w:val="16"/>
                <w:lang w:eastAsia="sl-SI"/>
              </w:rPr>
            </w:pPr>
            <w:r w:rsidRPr="00824019">
              <w:rPr>
                <w:rFonts w:eastAsia="Times New Roman"/>
                <w:color w:val="000000"/>
                <w:sz w:val="16"/>
                <w:szCs w:val="16"/>
                <w:lang w:eastAsia="sl-SI"/>
              </w:rPr>
              <w:t>Vzhodna</w:t>
            </w:r>
          </w:p>
        </w:tc>
        <w:tc>
          <w:tcPr>
            <w:tcW w:w="1264" w:type="dxa"/>
            <w:tcBorders>
              <w:top w:val="nil"/>
              <w:left w:val="nil"/>
              <w:bottom w:val="single" w:sz="4" w:space="0" w:color="auto"/>
              <w:right w:val="single" w:sz="4" w:space="0" w:color="auto"/>
            </w:tcBorders>
            <w:shd w:val="clear" w:color="auto" w:fill="auto"/>
            <w:noWrap/>
            <w:vAlign w:val="center"/>
          </w:tcPr>
          <w:p w14:paraId="42E1F3BB" w14:textId="50146E55" w:rsidR="00185532" w:rsidRPr="00185532" w:rsidRDefault="00185532" w:rsidP="00C87588">
            <w:pPr>
              <w:spacing w:after="0" w:line="240" w:lineRule="auto"/>
              <w:jc w:val="right"/>
              <w:rPr>
                <w:rFonts w:eastAsia="Times New Roman"/>
                <w:color w:val="000000"/>
                <w:sz w:val="16"/>
                <w:szCs w:val="16"/>
                <w:lang w:eastAsia="sl-SI"/>
              </w:rPr>
            </w:pPr>
            <w:r w:rsidRPr="00185532">
              <w:rPr>
                <w:color w:val="000000"/>
                <w:sz w:val="16"/>
                <w:szCs w:val="16"/>
              </w:rPr>
              <w:t>368.794.996</w:t>
            </w:r>
          </w:p>
        </w:tc>
        <w:tc>
          <w:tcPr>
            <w:tcW w:w="1397" w:type="dxa"/>
            <w:tcBorders>
              <w:top w:val="nil"/>
              <w:left w:val="single" w:sz="4" w:space="0" w:color="auto"/>
              <w:bottom w:val="single" w:sz="4" w:space="0" w:color="auto"/>
              <w:right w:val="single" w:sz="4" w:space="0" w:color="auto"/>
            </w:tcBorders>
            <w:shd w:val="clear" w:color="auto" w:fill="auto"/>
            <w:noWrap/>
            <w:vAlign w:val="center"/>
          </w:tcPr>
          <w:p w14:paraId="715023EC" w14:textId="5DAE44A3" w:rsidR="00185532" w:rsidRPr="00824019" w:rsidRDefault="00185532" w:rsidP="00C87588">
            <w:pPr>
              <w:spacing w:after="0" w:line="240" w:lineRule="auto"/>
              <w:jc w:val="right"/>
              <w:rPr>
                <w:rFonts w:eastAsia="Times New Roman"/>
                <w:color w:val="000000"/>
                <w:sz w:val="16"/>
                <w:szCs w:val="16"/>
                <w:lang w:eastAsia="sl-SI"/>
              </w:rPr>
            </w:pPr>
            <w:r w:rsidRPr="00185532">
              <w:rPr>
                <w:rFonts w:eastAsia="Times New Roman"/>
                <w:color w:val="000000"/>
                <w:sz w:val="16"/>
                <w:szCs w:val="16"/>
                <w:lang w:eastAsia="sl-SI"/>
              </w:rPr>
              <w:t>379.473.557</w:t>
            </w:r>
          </w:p>
        </w:tc>
        <w:tc>
          <w:tcPr>
            <w:tcW w:w="1597" w:type="dxa"/>
            <w:tcBorders>
              <w:top w:val="nil"/>
              <w:left w:val="nil"/>
              <w:bottom w:val="single" w:sz="4" w:space="0" w:color="auto"/>
              <w:right w:val="single" w:sz="4" w:space="0" w:color="auto"/>
            </w:tcBorders>
            <w:shd w:val="clear" w:color="auto" w:fill="auto"/>
            <w:noWrap/>
            <w:vAlign w:val="center"/>
            <w:hideMark/>
          </w:tcPr>
          <w:p w14:paraId="2A7F1084" w14:textId="77777777" w:rsidR="00185532" w:rsidRPr="00824019" w:rsidRDefault="00185532" w:rsidP="00C87588">
            <w:pPr>
              <w:spacing w:after="0" w:line="240" w:lineRule="auto"/>
              <w:jc w:val="right"/>
              <w:rPr>
                <w:rFonts w:eastAsia="Times New Roman"/>
                <w:color w:val="000000"/>
                <w:sz w:val="16"/>
                <w:szCs w:val="16"/>
                <w:lang w:eastAsia="sl-SI"/>
              </w:rPr>
            </w:pPr>
            <w:r>
              <w:rPr>
                <w:color w:val="000000"/>
                <w:sz w:val="16"/>
                <w:szCs w:val="16"/>
              </w:rPr>
              <w:t>10.678.561</w:t>
            </w:r>
          </w:p>
        </w:tc>
        <w:tc>
          <w:tcPr>
            <w:tcW w:w="1237" w:type="dxa"/>
            <w:tcBorders>
              <w:top w:val="nil"/>
              <w:left w:val="nil"/>
              <w:bottom w:val="single" w:sz="4" w:space="0" w:color="auto"/>
              <w:right w:val="single" w:sz="8" w:space="0" w:color="auto"/>
            </w:tcBorders>
            <w:shd w:val="clear" w:color="auto" w:fill="auto"/>
            <w:noWrap/>
            <w:vAlign w:val="center"/>
            <w:hideMark/>
          </w:tcPr>
          <w:p w14:paraId="67A9747D" w14:textId="77777777" w:rsidR="00185532" w:rsidRPr="00824019" w:rsidRDefault="00185532" w:rsidP="00C87588">
            <w:pPr>
              <w:spacing w:after="0" w:line="240" w:lineRule="auto"/>
              <w:jc w:val="right"/>
              <w:rPr>
                <w:rFonts w:eastAsia="Times New Roman"/>
                <w:color w:val="000000"/>
                <w:sz w:val="16"/>
                <w:szCs w:val="16"/>
                <w:lang w:eastAsia="sl-SI"/>
              </w:rPr>
            </w:pPr>
            <w:r>
              <w:rPr>
                <w:color w:val="000000"/>
                <w:sz w:val="16"/>
                <w:szCs w:val="16"/>
              </w:rPr>
              <w:t>102,90%</w:t>
            </w:r>
          </w:p>
        </w:tc>
      </w:tr>
      <w:tr w:rsidR="00185532" w:rsidRPr="00824019" w14:paraId="29343C90" w14:textId="77777777" w:rsidTr="00185532">
        <w:trPr>
          <w:trHeight w:val="255"/>
        </w:trPr>
        <w:tc>
          <w:tcPr>
            <w:tcW w:w="1756" w:type="dxa"/>
            <w:gridSpan w:val="2"/>
            <w:vMerge/>
            <w:tcBorders>
              <w:top w:val="single" w:sz="8" w:space="0" w:color="auto"/>
              <w:left w:val="single" w:sz="8" w:space="0" w:color="auto"/>
              <w:bottom w:val="single" w:sz="4" w:space="0" w:color="auto"/>
              <w:right w:val="single" w:sz="8" w:space="0" w:color="000000"/>
            </w:tcBorders>
            <w:vAlign w:val="center"/>
            <w:hideMark/>
          </w:tcPr>
          <w:p w14:paraId="323DA853" w14:textId="77777777" w:rsidR="00185532" w:rsidRPr="00824019" w:rsidRDefault="00185532" w:rsidP="00C87588">
            <w:pPr>
              <w:spacing w:after="0" w:line="240" w:lineRule="auto"/>
              <w:rPr>
                <w:rFonts w:eastAsia="Times New Roman"/>
                <w:b/>
                <w:bCs/>
                <w:color w:val="000000"/>
                <w:sz w:val="16"/>
                <w:szCs w:val="16"/>
                <w:lang w:eastAsia="sl-SI"/>
              </w:rPr>
            </w:pPr>
          </w:p>
        </w:tc>
        <w:tc>
          <w:tcPr>
            <w:tcW w:w="1291" w:type="dxa"/>
            <w:tcBorders>
              <w:top w:val="nil"/>
              <w:left w:val="nil"/>
              <w:bottom w:val="nil"/>
              <w:right w:val="single" w:sz="8" w:space="0" w:color="auto"/>
            </w:tcBorders>
            <w:shd w:val="clear" w:color="auto" w:fill="auto"/>
            <w:noWrap/>
            <w:vAlign w:val="center"/>
            <w:hideMark/>
          </w:tcPr>
          <w:p w14:paraId="026F53F2" w14:textId="77777777" w:rsidR="00185532" w:rsidRPr="00824019" w:rsidRDefault="00185532" w:rsidP="00C87588">
            <w:pPr>
              <w:spacing w:after="0" w:line="240" w:lineRule="auto"/>
              <w:jc w:val="center"/>
              <w:rPr>
                <w:rFonts w:eastAsia="Times New Roman"/>
                <w:color w:val="000000"/>
                <w:sz w:val="16"/>
                <w:szCs w:val="16"/>
                <w:lang w:eastAsia="sl-SI"/>
              </w:rPr>
            </w:pPr>
            <w:r w:rsidRPr="00824019">
              <w:rPr>
                <w:rFonts w:eastAsia="Times New Roman"/>
                <w:color w:val="000000"/>
                <w:sz w:val="16"/>
                <w:szCs w:val="16"/>
                <w:lang w:eastAsia="sl-SI"/>
              </w:rPr>
              <w:t>Zahodna</w:t>
            </w:r>
          </w:p>
        </w:tc>
        <w:tc>
          <w:tcPr>
            <w:tcW w:w="1264" w:type="dxa"/>
            <w:tcBorders>
              <w:top w:val="nil"/>
              <w:left w:val="nil"/>
              <w:bottom w:val="single" w:sz="4" w:space="0" w:color="auto"/>
              <w:right w:val="single" w:sz="4" w:space="0" w:color="auto"/>
            </w:tcBorders>
            <w:shd w:val="clear" w:color="auto" w:fill="auto"/>
            <w:noWrap/>
            <w:vAlign w:val="center"/>
          </w:tcPr>
          <w:p w14:paraId="03F40B96" w14:textId="3AD9A628" w:rsidR="00185532" w:rsidRPr="00185532" w:rsidRDefault="00185532" w:rsidP="00C87588">
            <w:pPr>
              <w:spacing w:after="0" w:line="240" w:lineRule="auto"/>
              <w:jc w:val="right"/>
              <w:rPr>
                <w:rFonts w:eastAsia="Times New Roman"/>
                <w:color w:val="000000"/>
                <w:sz w:val="16"/>
                <w:szCs w:val="16"/>
                <w:lang w:eastAsia="sl-SI"/>
              </w:rPr>
            </w:pPr>
            <w:r w:rsidRPr="00185532">
              <w:rPr>
                <w:color w:val="000000"/>
                <w:sz w:val="16"/>
                <w:szCs w:val="16"/>
              </w:rPr>
              <w:t>338.918.438</w:t>
            </w:r>
          </w:p>
        </w:tc>
        <w:tc>
          <w:tcPr>
            <w:tcW w:w="1397" w:type="dxa"/>
            <w:tcBorders>
              <w:top w:val="nil"/>
              <w:left w:val="single" w:sz="4" w:space="0" w:color="auto"/>
              <w:bottom w:val="single" w:sz="4" w:space="0" w:color="auto"/>
              <w:right w:val="single" w:sz="4" w:space="0" w:color="auto"/>
            </w:tcBorders>
            <w:shd w:val="clear" w:color="auto" w:fill="auto"/>
            <w:noWrap/>
            <w:vAlign w:val="center"/>
          </w:tcPr>
          <w:p w14:paraId="446D3477" w14:textId="018BF9B6" w:rsidR="00185532" w:rsidRPr="00824019" w:rsidRDefault="00185532" w:rsidP="00C87588">
            <w:pPr>
              <w:spacing w:after="0" w:line="240" w:lineRule="auto"/>
              <w:jc w:val="right"/>
              <w:rPr>
                <w:rFonts w:eastAsia="Times New Roman"/>
                <w:color w:val="000000"/>
                <w:sz w:val="16"/>
                <w:szCs w:val="16"/>
                <w:lang w:eastAsia="sl-SI"/>
              </w:rPr>
            </w:pPr>
            <w:r w:rsidRPr="00185532">
              <w:rPr>
                <w:rFonts w:eastAsia="Times New Roman"/>
                <w:color w:val="000000"/>
                <w:sz w:val="16"/>
                <w:szCs w:val="16"/>
                <w:lang w:eastAsia="sl-SI"/>
              </w:rPr>
              <w:t>339.296.038</w:t>
            </w:r>
          </w:p>
        </w:tc>
        <w:tc>
          <w:tcPr>
            <w:tcW w:w="1597" w:type="dxa"/>
            <w:tcBorders>
              <w:top w:val="nil"/>
              <w:left w:val="nil"/>
              <w:bottom w:val="single" w:sz="4" w:space="0" w:color="auto"/>
              <w:right w:val="single" w:sz="4" w:space="0" w:color="auto"/>
            </w:tcBorders>
            <w:shd w:val="clear" w:color="auto" w:fill="auto"/>
            <w:noWrap/>
            <w:vAlign w:val="center"/>
            <w:hideMark/>
          </w:tcPr>
          <w:p w14:paraId="2C8281D5" w14:textId="77777777" w:rsidR="00185532" w:rsidRPr="00824019" w:rsidRDefault="00185532" w:rsidP="00C87588">
            <w:pPr>
              <w:spacing w:after="0" w:line="240" w:lineRule="auto"/>
              <w:jc w:val="right"/>
              <w:rPr>
                <w:rFonts w:eastAsia="Times New Roman"/>
                <w:color w:val="000000"/>
                <w:sz w:val="16"/>
                <w:szCs w:val="16"/>
                <w:lang w:eastAsia="sl-SI"/>
              </w:rPr>
            </w:pPr>
            <w:r>
              <w:rPr>
                <w:color w:val="000000"/>
                <w:sz w:val="16"/>
                <w:szCs w:val="16"/>
              </w:rPr>
              <w:t>377.600</w:t>
            </w:r>
          </w:p>
        </w:tc>
        <w:tc>
          <w:tcPr>
            <w:tcW w:w="1237" w:type="dxa"/>
            <w:tcBorders>
              <w:top w:val="nil"/>
              <w:left w:val="nil"/>
              <w:bottom w:val="single" w:sz="4" w:space="0" w:color="auto"/>
              <w:right w:val="single" w:sz="8" w:space="0" w:color="auto"/>
            </w:tcBorders>
            <w:shd w:val="clear" w:color="auto" w:fill="auto"/>
            <w:noWrap/>
            <w:vAlign w:val="center"/>
            <w:hideMark/>
          </w:tcPr>
          <w:p w14:paraId="25BB9AF4" w14:textId="77777777" w:rsidR="00185532" w:rsidRPr="00824019" w:rsidRDefault="00185532" w:rsidP="00C87588">
            <w:pPr>
              <w:spacing w:after="0" w:line="240" w:lineRule="auto"/>
              <w:jc w:val="right"/>
              <w:rPr>
                <w:rFonts w:eastAsia="Times New Roman"/>
                <w:color w:val="000000"/>
                <w:sz w:val="16"/>
                <w:szCs w:val="16"/>
                <w:lang w:eastAsia="sl-SI"/>
              </w:rPr>
            </w:pPr>
            <w:r>
              <w:rPr>
                <w:color w:val="000000"/>
                <w:sz w:val="16"/>
                <w:szCs w:val="16"/>
              </w:rPr>
              <w:t>100,11%</w:t>
            </w:r>
          </w:p>
        </w:tc>
      </w:tr>
      <w:tr w:rsidR="00185532" w:rsidRPr="00824019" w14:paraId="7C733E75" w14:textId="77777777" w:rsidTr="00185532">
        <w:trPr>
          <w:trHeight w:val="240"/>
        </w:trPr>
        <w:tc>
          <w:tcPr>
            <w:tcW w:w="3047" w:type="dxa"/>
            <w:gridSpan w:val="3"/>
            <w:tcBorders>
              <w:top w:val="single" w:sz="8" w:space="0" w:color="auto"/>
              <w:left w:val="single" w:sz="8" w:space="0" w:color="auto"/>
              <w:bottom w:val="single" w:sz="8" w:space="0" w:color="auto"/>
              <w:right w:val="single" w:sz="8" w:space="0" w:color="000000"/>
            </w:tcBorders>
            <w:shd w:val="clear" w:color="000000" w:fill="EEECE1"/>
            <w:vAlign w:val="center"/>
            <w:hideMark/>
          </w:tcPr>
          <w:p w14:paraId="54042373" w14:textId="77777777" w:rsidR="00185532" w:rsidRPr="00824019" w:rsidRDefault="00185532" w:rsidP="00C87588">
            <w:pPr>
              <w:spacing w:after="0" w:line="240" w:lineRule="auto"/>
              <w:jc w:val="center"/>
              <w:rPr>
                <w:rFonts w:eastAsia="Times New Roman"/>
                <w:b/>
                <w:bCs/>
                <w:color w:val="000000"/>
                <w:sz w:val="16"/>
                <w:szCs w:val="16"/>
                <w:lang w:eastAsia="sl-SI"/>
              </w:rPr>
            </w:pPr>
            <w:r w:rsidRPr="00824019">
              <w:rPr>
                <w:rFonts w:eastAsia="Times New Roman"/>
                <w:b/>
                <w:bCs/>
                <w:color w:val="000000"/>
                <w:sz w:val="16"/>
                <w:szCs w:val="16"/>
                <w:lang w:eastAsia="sl-SI"/>
              </w:rPr>
              <w:t>Skupaj ESS</w:t>
            </w:r>
          </w:p>
        </w:tc>
        <w:tc>
          <w:tcPr>
            <w:tcW w:w="1264" w:type="dxa"/>
            <w:tcBorders>
              <w:top w:val="nil"/>
              <w:left w:val="nil"/>
              <w:bottom w:val="single" w:sz="4" w:space="0" w:color="auto"/>
              <w:right w:val="single" w:sz="4" w:space="0" w:color="auto"/>
            </w:tcBorders>
            <w:shd w:val="clear" w:color="000000" w:fill="EEECE1"/>
            <w:noWrap/>
            <w:vAlign w:val="bottom"/>
          </w:tcPr>
          <w:p w14:paraId="3DD0C307" w14:textId="6DC72272" w:rsidR="00185532" w:rsidRPr="00185532" w:rsidRDefault="00185532" w:rsidP="00C87588">
            <w:pPr>
              <w:spacing w:after="0" w:line="240" w:lineRule="auto"/>
              <w:jc w:val="right"/>
              <w:rPr>
                <w:rFonts w:eastAsia="Times New Roman"/>
                <w:b/>
                <w:bCs/>
                <w:color w:val="000000"/>
                <w:sz w:val="16"/>
                <w:szCs w:val="16"/>
                <w:lang w:eastAsia="sl-SI"/>
              </w:rPr>
            </w:pPr>
            <w:r w:rsidRPr="00185532">
              <w:rPr>
                <w:b/>
                <w:bCs/>
                <w:color w:val="000000"/>
                <w:sz w:val="16"/>
                <w:szCs w:val="16"/>
              </w:rPr>
              <w:t>707.713.434</w:t>
            </w:r>
          </w:p>
        </w:tc>
        <w:tc>
          <w:tcPr>
            <w:tcW w:w="1397" w:type="dxa"/>
            <w:tcBorders>
              <w:top w:val="nil"/>
              <w:left w:val="single" w:sz="4" w:space="0" w:color="auto"/>
              <w:bottom w:val="single" w:sz="4" w:space="0" w:color="auto"/>
              <w:right w:val="single" w:sz="4" w:space="0" w:color="auto"/>
            </w:tcBorders>
            <w:shd w:val="clear" w:color="000000" w:fill="EEECE1"/>
            <w:noWrap/>
            <w:vAlign w:val="center"/>
          </w:tcPr>
          <w:p w14:paraId="0CD6ABA1" w14:textId="39948ED6" w:rsidR="00185532" w:rsidRPr="00824019" w:rsidRDefault="00185532" w:rsidP="00C87588">
            <w:pPr>
              <w:spacing w:after="0" w:line="240" w:lineRule="auto"/>
              <w:jc w:val="right"/>
              <w:rPr>
                <w:rFonts w:eastAsia="Times New Roman"/>
                <w:b/>
                <w:bCs/>
                <w:color w:val="000000"/>
                <w:sz w:val="16"/>
                <w:szCs w:val="16"/>
                <w:lang w:eastAsia="sl-SI"/>
              </w:rPr>
            </w:pPr>
            <w:r w:rsidRPr="00185532">
              <w:rPr>
                <w:rFonts w:eastAsia="Times New Roman"/>
                <w:b/>
                <w:bCs/>
                <w:color w:val="000000"/>
                <w:sz w:val="16"/>
                <w:szCs w:val="16"/>
                <w:lang w:eastAsia="sl-SI"/>
              </w:rPr>
              <w:t>718.769.595</w:t>
            </w:r>
          </w:p>
        </w:tc>
        <w:tc>
          <w:tcPr>
            <w:tcW w:w="1597" w:type="dxa"/>
            <w:tcBorders>
              <w:top w:val="nil"/>
              <w:left w:val="nil"/>
              <w:bottom w:val="single" w:sz="4" w:space="0" w:color="auto"/>
              <w:right w:val="single" w:sz="4" w:space="0" w:color="auto"/>
            </w:tcBorders>
            <w:shd w:val="clear" w:color="000000" w:fill="EEECE1"/>
            <w:noWrap/>
            <w:vAlign w:val="center"/>
            <w:hideMark/>
          </w:tcPr>
          <w:p w14:paraId="2282E8ED" w14:textId="7802FDE2" w:rsidR="00185532" w:rsidRPr="00824019" w:rsidRDefault="00932B46" w:rsidP="00932B46">
            <w:pPr>
              <w:spacing w:after="0" w:line="240" w:lineRule="auto"/>
              <w:jc w:val="right"/>
              <w:rPr>
                <w:rFonts w:eastAsia="Times New Roman"/>
                <w:b/>
                <w:bCs/>
                <w:color w:val="000000"/>
                <w:sz w:val="16"/>
                <w:szCs w:val="16"/>
                <w:lang w:eastAsia="sl-SI"/>
              </w:rPr>
            </w:pPr>
            <w:r>
              <w:rPr>
                <w:b/>
                <w:bCs/>
                <w:color w:val="000000"/>
                <w:sz w:val="16"/>
                <w:szCs w:val="16"/>
              </w:rPr>
              <w:t>11.056.161</w:t>
            </w:r>
          </w:p>
        </w:tc>
        <w:tc>
          <w:tcPr>
            <w:tcW w:w="1237" w:type="dxa"/>
            <w:tcBorders>
              <w:top w:val="nil"/>
              <w:left w:val="nil"/>
              <w:bottom w:val="single" w:sz="4" w:space="0" w:color="auto"/>
              <w:right w:val="single" w:sz="8" w:space="0" w:color="auto"/>
            </w:tcBorders>
            <w:shd w:val="clear" w:color="000000" w:fill="EEECE1"/>
            <w:noWrap/>
            <w:vAlign w:val="center"/>
            <w:hideMark/>
          </w:tcPr>
          <w:p w14:paraId="132E90BC" w14:textId="2035241B" w:rsidR="00185532" w:rsidRPr="00824019" w:rsidRDefault="00932B46" w:rsidP="00C87588">
            <w:pPr>
              <w:spacing w:after="0" w:line="240" w:lineRule="auto"/>
              <w:jc w:val="right"/>
              <w:rPr>
                <w:rFonts w:eastAsia="Times New Roman"/>
                <w:b/>
                <w:bCs/>
                <w:color w:val="000000"/>
                <w:sz w:val="16"/>
                <w:szCs w:val="16"/>
                <w:lang w:eastAsia="sl-SI"/>
              </w:rPr>
            </w:pPr>
            <w:r>
              <w:rPr>
                <w:rFonts w:eastAsia="Times New Roman"/>
                <w:b/>
                <w:bCs/>
                <w:color w:val="000000"/>
                <w:sz w:val="16"/>
                <w:szCs w:val="16"/>
                <w:lang w:eastAsia="sl-SI"/>
              </w:rPr>
              <w:t>101,56%</w:t>
            </w:r>
          </w:p>
        </w:tc>
      </w:tr>
      <w:tr w:rsidR="00185532" w:rsidRPr="00824019" w14:paraId="32C26EF2" w14:textId="77777777" w:rsidTr="00185532">
        <w:trPr>
          <w:trHeight w:val="255"/>
        </w:trPr>
        <w:tc>
          <w:tcPr>
            <w:tcW w:w="1756" w:type="dxa"/>
            <w:gridSpan w:val="2"/>
            <w:tcBorders>
              <w:top w:val="nil"/>
              <w:left w:val="single" w:sz="8" w:space="0" w:color="auto"/>
              <w:bottom w:val="nil"/>
              <w:right w:val="single" w:sz="8" w:space="0" w:color="000000"/>
            </w:tcBorders>
            <w:shd w:val="clear" w:color="auto" w:fill="auto"/>
            <w:vAlign w:val="center"/>
            <w:hideMark/>
          </w:tcPr>
          <w:p w14:paraId="6C2FF740" w14:textId="77777777" w:rsidR="00185532" w:rsidRPr="00824019" w:rsidRDefault="00185532" w:rsidP="00C87588">
            <w:pPr>
              <w:spacing w:after="0" w:line="240" w:lineRule="auto"/>
              <w:jc w:val="center"/>
              <w:rPr>
                <w:rFonts w:eastAsia="Times New Roman"/>
                <w:b/>
                <w:bCs/>
                <w:color w:val="000000"/>
                <w:sz w:val="16"/>
                <w:szCs w:val="16"/>
                <w:lang w:eastAsia="sl-SI"/>
              </w:rPr>
            </w:pPr>
            <w:r w:rsidRPr="00824019">
              <w:rPr>
                <w:rFonts w:eastAsia="Times New Roman"/>
                <w:b/>
                <w:bCs/>
                <w:color w:val="000000"/>
                <w:sz w:val="16"/>
                <w:szCs w:val="16"/>
                <w:lang w:eastAsia="sl-SI"/>
              </w:rPr>
              <w:t>CF</w:t>
            </w:r>
          </w:p>
        </w:tc>
        <w:tc>
          <w:tcPr>
            <w:tcW w:w="1291" w:type="dxa"/>
            <w:tcBorders>
              <w:top w:val="nil"/>
              <w:left w:val="nil"/>
              <w:bottom w:val="nil"/>
              <w:right w:val="single" w:sz="8" w:space="0" w:color="auto"/>
            </w:tcBorders>
            <w:shd w:val="clear" w:color="auto" w:fill="auto"/>
            <w:noWrap/>
            <w:vAlign w:val="center"/>
            <w:hideMark/>
          </w:tcPr>
          <w:p w14:paraId="072D4FE9" w14:textId="77777777" w:rsidR="00185532" w:rsidRPr="00824019" w:rsidRDefault="00185532" w:rsidP="00C87588">
            <w:pPr>
              <w:spacing w:after="0" w:line="240" w:lineRule="auto"/>
              <w:jc w:val="center"/>
              <w:rPr>
                <w:rFonts w:eastAsia="Times New Roman"/>
                <w:color w:val="000000"/>
                <w:sz w:val="16"/>
                <w:szCs w:val="16"/>
                <w:lang w:eastAsia="sl-SI"/>
              </w:rPr>
            </w:pPr>
            <w:r w:rsidRPr="00824019">
              <w:rPr>
                <w:rFonts w:eastAsia="Times New Roman"/>
                <w:color w:val="000000"/>
                <w:sz w:val="16"/>
                <w:szCs w:val="16"/>
                <w:lang w:eastAsia="sl-SI"/>
              </w:rPr>
              <w:t>Celotna</w:t>
            </w:r>
          </w:p>
        </w:tc>
        <w:tc>
          <w:tcPr>
            <w:tcW w:w="1264" w:type="dxa"/>
            <w:tcBorders>
              <w:top w:val="nil"/>
              <w:left w:val="nil"/>
              <w:bottom w:val="single" w:sz="4" w:space="0" w:color="auto"/>
              <w:right w:val="single" w:sz="4" w:space="0" w:color="auto"/>
            </w:tcBorders>
            <w:shd w:val="clear" w:color="auto" w:fill="auto"/>
            <w:noWrap/>
            <w:vAlign w:val="center"/>
          </w:tcPr>
          <w:p w14:paraId="705F4248" w14:textId="7B32BF28" w:rsidR="00185532" w:rsidRPr="00185532" w:rsidRDefault="00185532" w:rsidP="00C87588">
            <w:pPr>
              <w:spacing w:after="0" w:line="240" w:lineRule="auto"/>
              <w:jc w:val="right"/>
              <w:rPr>
                <w:rFonts w:eastAsia="Times New Roman"/>
                <w:color w:val="000000"/>
                <w:sz w:val="16"/>
                <w:szCs w:val="16"/>
                <w:lang w:eastAsia="sl-SI"/>
              </w:rPr>
            </w:pPr>
            <w:r w:rsidRPr="00185532">
              <w:rPr>
                <w:color w:val="000000"/>
                <w:sz w:val="16"/>
                <w:szCs w:val="16"/>
              </w:rPr>
              <w:t>895.370.363</w:t>
            </w:r>
          </w:p>
        </w:tc>
        <w:tc>
          <w:tcPr>
            <w:tcW w:w="1397" w:type="dxa"/>
            <w:tcBorders>
              <w:top w:val="nil"/>
              <w:left w:val="single" w:sz="4" w:space="0" w:color="auto"/>
              <w:bottom w:val="single" w:sz="4" w:space="0" w:color="auto"/>
              <w:right w:val="single" w:sz="4" w:space="0" w:color="auto"/>
            </w:tcBorders>
            <w:shd w:val="clear" w:color="auto" w:fill="auto"/>
            <w:noWrap/>
            <w:vAlign w:val="center"/>
          </w:tcPr>
          <w:p w14:paraId="117EBD8B" w14:textId="774711B3" w:rsidR="00185532" w:rsidRPr="00824019" w:rsidRDefault="00185532" w:rsidP="00C87588">
            <w:pPr>
              <w:spacing w:after="0" w:line="240" w:lineRule="auto"/>
              <w:jc w:val="right"/>
              <w:rPr>
                <w:rFonts w:eastAsia="Times New Roman"/>
                <w:color w:val="000000"/>
                <w:sz w:val="16"/>
                <w:szCs w:val="16"/>
                <w:lang w:eastAsia="sl-SI"/>
              </w:rPr>
            </w:pPr>
            <w:r w:rsidRPr="00185532">
              <w:rPr>
                <w:rFonts w:eastAsia="Times New Roman"/>
                <w:color w:val="000000"/>
                <w:sz w:val="16"/>
                <w:szCs w:val="16"/>
                <w:lang w:eastAsia="sl-SI"/>
              </w:rPr>
              <w:t>914.046.895</w:t>
            </w:r>
          </w:p>
        </w:tc>
        <w:tc>
          <w:tcPr>
            <w:tcW w:w="1597" w:type="dxa"/>
            <w:tcBorders>
              <w:top w:val="nil"/>
              <w:left w:val="nil"/>
              <w:bottom w:val="single" w:sz="4" w:space="0" w:color="auto"/>
              <w:right w:val="single" w:sz="4" w:space="0" w:color="auto"/>
            </w:tcBorders>
            <w:shd w:val="clear" w:color="auto" w:fill="auto"/>
            <w:noWrap/>
            <w:vAlign w:val="center"/>
            <w:hideMark/>
          </w:tcPr>
          <w:p w14:paraId="463A3ADD" w14:textId="77777777" w:rsidR="00185532" w:rsidRPr="00824019" w:rsidRDefault="00185532" w:rsidP="00C87588">
            <w:pPr>
              <w:spacing w:after="0" w:line="240" w:lineRule="auto"/>
              <w:jc w:val="right"/>
              <w:rPr>
                <w:rFonts w:eastAsia="Times New Roman"/>
                <w:color w:val="000000"/>
                <w:sz w:val="16"/>
                <w:szCs w:val="16"/>
                <w:lang w:eastAsia="sl-SI"/>
              </w:rPr>
            </w:pPr>
            <w:r>
              <w:rPr>
                <w:color w:val="000000"/>
                <w:sz w:val="16"/>
                <w:szCs w:val="16"/>
              </w:rPr>
              <w:t>18.676.532</w:t>
            </w:r>
          </w:p>
        </w:tc>
        <w:tc>
          <w:tcPr>
            <w:tcW w:w="1237" w:type="dxa"/>
            <w:tcBorders>
              <w:top w:val="nil"/>
              <w:left w:val="nil"/>
              <w:bottom w:val="single" w:sz="4" w:space="0" w:color="auto"/>
              <w:right w:val="single" w:sz="8" w:space="0" w:color="auto"/>
            </w:tcBorders>
            <w:shd w:val="clear" w:color="auto" w:fill="auto"/>
            <w:noWrap/>
            <w:vAlign w:val="center"/>
            <w:hideMark/>
          </w:tcPr>
          <w:p w14:paraId="42F1010F" w14:textId="77777777" w:rsidR="00185532" w:rsidRPr="00824019" w:rsidRDefault="00185532" w:rsidP="00C87588">
            <w:pPr>
              <w:spacing w:after="0" w:line="240" w:lineRule="auto"/>
              <w:jc w:val="right"/>
              <w:rPr>
                <w:rFonts w:eastAsia="Times New Roman"/>
                <w:color w:val="000000"/>
                <w:sz w:val="16"/>
                <w:szCs w:val="16"/>
                <w:lang w:eastAsia="sl-SI"/>
              </w:rPr>
            </w:pPr>
            <w:r>
              <w:rPr>
                <w:color w:val="000000"/>
                <w:sz w:val="16"/>
                <w:szCs w:val="16"/>
              </w:rPr>
              <w:t>102,09%</w:t>
            </w:r>
          </w:p>
        </w:tc>
      </w:tr>
      <w:tr w:rsidR="00185532" w:rsidRPr="00824019" w14:paraId="6F700634" w14:textId="77777777" w:rsidTr="00185532">
        <w:trPr>
          <w:trHeight w:val="240"/>
        </w:trPr>
        <w:tc>
          <w:tcPr>
            <w:tcW w:w="3047" w:type="dxa"/>
            <w:gridSpan w:val="3"/>
            <w:tcBorders>
              <w:top w:val="single" w:sz="8" w:space="0" w:color="auto"/>
              <w:left w:val="single" w:sz="8" w:space="0" w:color="auto"/>
              <w:bottom w:val="single" w:sz="8" w:space="0" w:color="auto"/>
              <w:right w:val="single" w:sz="8" w:space="0" w:color="000000"/>
            </w:tcBorders>
            <w:shd w:val="clear" w:color="000000" w:fill="EEECE1"/>
            <w:vAlign w:val="center"/>
            <w:hideMark/>
          </w:tcPr>
          <w:p w14:paraId="6827133A" w14:textId="77777777" w:rsidR="00185532" w:rsidRPr="00824019" w:rsidRDefault="00185532" w:rsidP="00C87588">
            <w:pPr>
              <w:spacing w:after="0" w:line="240" w:lineRule="auto"/>
              <w:jc w:val="center"/>
              <w:rPr>
                <w:rFonts w:eastAsia="Times New Roman"/>
                <w:b/>
                <w:bCs/>
                <w:color w:val="000000"/>
                <w:sz w:val="16"/>
                <w:szCs w:val="16"/>
                <w:lang w:eastAsia="sl-SI"/>
              </w:rPr>
            </w:pPr>
            <w:r w:rsidRPr="00824019">
              <w:rPr>
                <w:rFonts w:eastAsia="Times New Roman"/>
                <w:b/>
                <w:bCs/>
                <w:color w:val="000000"/>
                <w:sz w:val="16"/>
                <w:szCs w:val="16"/>
                <w:lang w:eastAsia="sl-SI"/>
              </w:rPr>
              <w:t>Skupaj KS</w:t>
            </w:r>
          </w:p>
        </w:tc>
        <w:tc>
          <w:tcPr>
            <w:tcW w:w="1264" w:type="dxa"/>
            <w:tcBorders>
              <w:top w:val="nil"/>
              <w:left w:val="nil"/>
              <w:bottom w:val="single" w:sz="4" w:space="0" w:color="auto"/>
              <w:right w:val="single" w:sz="4" w:space="0" w:color="auto"/>
            </w:tcBorders>
            <w:shd w:val="clear" w:color="000000" w:fill="EEECE1"/>
            <w:noWrap/>
            <w:vAlign w:val="bottom"/>
          </w:tcPr>
          <w:p w14:paraId="3E1985B1" w14:textId="22B2E2BE" w:rsidR="00185532" w:rsidRPr="00185532" w:rsidRDefault="00185532" w:rsidP="00C87588">
            <w:pPr>
              <w:spacing w:after="0" w:line="240" w:lineRule="auto"/>
              <w:jc w:val="right"/>
              <w:rPr>
                <w:rFonts w:eastAsia="Times New Roman"/>
                <w:b/>
                <w:bCs/>
                <w:color w:val="000000"/>
                <w:sz w:val="16"/>
                <w:szCs w:val="16"/>
                <w:lang w:eastAsia="sl-SI"/>
              </w:rPr>
            </w:pPr>
            <w:r w:rsidRPr="00185532">
              <w:rPr>
                <w:b/>
                <w:bCs/>
                <w:color w:val="000000"/>
                <w:sz w:val="16"/>
                <w:szCs w:val="16"/>
              </w:rPr>
              <w:t>895.370.363</w:t>
            </w:r>
          </w:p>
        </w:tc>
        <w:tc>
          <w:tcPr>
            <w:tcW w:w="1397" w:type="dxa"/>
            <w:tcBorders>
              <w:top w:val="nil"/>
              <w:left w:val="single" w:sz="4" w:space="0" w:color="auto"/>
              <w:bottom w:val="single" w:sz="4" w:space="0" w:color="auto"/>
              <w:right w:val="single" w:sz="4" w:space="0" w:color="auto"/>
            </w:tcBorders>
            <w:shd w:val="clear" w:color="000000" w:fill="EEECE1"/>
            <w:noWrap/>
            <w:vAlign w:val="center"/>
          </w:tcPr>
          <w:p w14:paraId="742AA72C" w14:textId="0A711C35" w:rsidR="00185532" w:rsidRPr="00185532" w:rsidRDefault="00185532" w:rsidP="00C87588">
            <w:pPr>
              <w:spacing w:after="0" w:line="240" w:lineRule="auto"/>
              <w:jc w:val="right"/>
              <w:rPr>
                <w:rFonts w:eastAsia="Times New Roman"/>
                <w:b/>
                <w:bCs/>
                <w:color w:val="000000"/>
                <w:sz w:val="16"/>
                <w:szCs w:val="16"/>
                <w:lang w:eastAsia="sl-SI"/>
              </w:rPr>
            </w:pPr>
            <w:r w:rsidRPr="00185532">
              <w:rPr>
                <w:rFonts w:eastAsia="Times New Roman"/>
                <w:b/>
                <w:color w:val="000000"/>
                <w:sz w:val="16"/>
                <w:szCs w:val="16"/>
                <w:lang w:eastAsia="sl-SI"/>
              </w:rPr>
              <w:t>914.046.895</w:t>
            </w:r>
          </w:p>
        </w:tc>
        <w:tc>
          <w:tcPr>
            <w:tcW w:w="1597" w:type="dxa"/>
            <w:tcBorders>
              <w:top w:val="nil"/>
              <w:left w:val="nil"/>
              <w:bottom w:val="single" w:sz="4" w:space="0" w:color="auto"/>
              <w:right w:val="single" w:sz="4" w:space="0" w:color="auto"/>
            </w:tcBorders>
            <w:shd w:val="clear" w:color="000000" w:fill="EEECE1"/>
            <w:noWrap/>
            <w:vAlign w:val="center"/>
            <w:hideMark/>
          </w:tcPr>
          <w:p w14:paraId="235C34F4" w14:textId="3CC2C14D" w:rsidR="00185532" w:rsidRPr="00824019" w:rsidRDefault="00932B46" w:rsidP="00C87588">
            <w:pPr>
              <w:spacing w:after="0" w:line="240" w:lineRule="auto"/>
              <w:jc w:val="right"/>
              <w:rPr>
                <w:rFonts w:eastAsia="Times New Roman"/>
                <w:b/>
                <w:bCs/>
                <w:color w:val="000000"/>
                <w:sz w:val="16"/>
                <w:szCs w:val="16"/>
                <w:lang w:eastAsia="sl-SI"/>
              </w:rPr>
            </w:pPr>
            <w:r>
              <w:rPr>
                <w:b/>
                <w:bCs/>
                <w:color w:val="000000"/>
                <w:sz w:val="16"/>
                <w:szCs w:val="16"/>
              </w:rPr>
              <w:t>18.676.532</w:t>
            </w:r>
          </w:p>
        </w:tc>
        <w:tc>
          <w:tcPr>
            <w:tcW w:w="1237" w:type="dxa"/>
            <w:tcBorders>
              <w:top w:val="nil"/>
              <w:left w:val="nil"/>
              <w:bottom w:val="single" w:sz="4" w:space="0" w:color="auto"/>
              <w:right w:val="single" w:sz="8" w:space="0" w:color="auto"/>
            </w:tcBorders>
            <w:shd w:val="clear" w:color="000000" w:fill="EEECE1"/>
            <w:noWrap/>
            <w:vAlign w:val="center"/>
            <w:hideMark/>
          </w:tcPr>
          <w:p w14:paraId="236832C2" w14:textId="17CFF7E7" w:rsidR="00185532" w:rsidRPr="00824019" w:rsidRDefault="00B64F80" w:rsidP="00C87588">
            <w:pPr>
              <w:spacing w:after="0" w:line="240" w:lineRule="auto"/>
              <w:jc w:val="right"/>
              <w:rPr>
                <w:rFonts w:eastAsia="Times New Roman"/>
                <w:b/>
                <w:bCs/>
                <w:color w:val="000000"/>
                <w:sz w:val="16"/>
                <w:szCs w:val="16"/>
                <w:lang w:eastAsia="sl-SI"/>
              </w:rPr>
            </w:pPr>
            <w:r>
              <w:rPr>
                <w:rFonts w:eastAsia="Times New Roman"/>
                <w:b/>
                <w:bCs/>
                <w:color w:val="000000"/>
                <w:sz w:val="16"/>
                <w:szCs w:val="16"/>
                <w:lang w:eastAsia="sl-SI"/>
              </w:rPr>
              <w:t>102,09%</w:t>
            </w:r>
          </w:p>
        </w:tc>
      </w:tr>
      <w:tr w:rsidR="00185532" w:rsidRPr="00824019" w14:paraId="767A45AC" w14:textId="77777777" w:rsidTr="00185532">
        <w:trPr>
          <w:trHeight w:val="255"/>
        </w:trPr>
        <w:tc>
          <w:tcPr>
            <w:tcW w:w="1756" w:type="dxa"/>
            <w:gridSpan w:val="2"/>
            <w:tcBorders>
              <w:top w:val="nil"/>
              <w:left w:val="single" w:sz="8" w:space="0" w:color="auto"/>
              <w:bottom w:val="nil"/>
              <w:right w:val="single" w:sz="8" w:space="0" w:color="000000"/>
            </w:tcBorders>
            <w:shd w:val="clear" w:color="auto" w:fill="auto"/>
            <w:vAlign w:val="center"/>
            <w:hideMark/>
          </w:tcPr>
          <w:p w14:paraId="37AAEEE7" w14:textId="77777777" w:rsidR="00185532" w:rsidRPr="00824019" w:rsidRDefault="00185532" w:rsidP="00C87588">
            <w:pPr>
              <w:spacing w:after="0" w:line="240" w:lineRule="auto"/>
              <w:jc w:val="center"/>
              <w:rPr>
                <w:rFonts w:eastAsia="Times New Roman"/>
                <w:b/>
                <w:bCs/>
                <w:color w:val="000000"/>
                <w:sz w:val="16"/>
                <w:szCs w:val="16"/>
                <w:lang w:eastAsia="sl-SI"/>
              </w:rPr>
            </w:pPr>
            <w:r w:rsidRPr="00824019">
              <w:rPr>
                <w:rFonts w:eastAsia="Times New Roman"/>
                <w:b/>
                <w:bCs/>
                <w:color w:val="000000"/>
                <w:sz w:val="16"/>
                <w:szCs w:val="16"/>
                <w:lang w:eastAsia="sl-SI"/>
              </w:rPr>
              <w:t>YEI</w:t>
            </w:r>
          </w:p>
        </w:tc>
        <w:tc>
          <w:tcPr>
            <w:tcW w:w="1291" w:type="dxa"/>
            <w:tcBorders>
              <w:top w:val="nil"/>
              <w:left w:val="nil"/>
              <w:bottom w:val="nil"/>
              <w:right w:val="single" w:sz="8" w:space="0" w:color="auto"/>
            </w:tcBorders>
            <w:shd w:val="clear" w:color="auto" w:fill="auto"/>
            <w:noWrap/>
            <w:vAlign w:val="center"/>
            <w:hideMark/>
          </w:tcPr>
          <w:p w14:paraId="339BF10E" w14:textId="77777777" w:rsidR="00185532" w:rsidRPr="00824019" w:rsidRDefault="00185532" w:rsidP="00C87588">
            <w:pPr>
              <w:spacing w:after="0" w:line="240" w:lineRule="auto"/>
              <w:jc w:val="center"/>
              <w:rPr>
                <w:rFonts w:eastAsia="Times New Roman"/>
                <w:color w:val="000000"/>
                <w:sz w:val="16"/>
                <w:szCs w:val="16"/>
                <w:lang w:eastAsia="sl-SI"/>
              </w:rPr>
            </w:pPr>
            <w:r w:rsidRPr="00824019">
              <w:rPr>
                <w:rFonts w:eastAsia="Times New Roman"/>
                <w:color w:val="000000"/>
                <w:sz w:val="16"/>
                <w:szCs w:val="16"/>
                <w:lang w:eastAsia="sl-SI"/>
              </w:rPr>
              <w:t>Vzhodna</w:t>
            </w:r>
          </w:p>
        </w:tc>
        <w:tc>
          <w:tcPr>
            <w:tcW w:w="1264" w:type="dxa"/>
            <w:tcBorders>
              <w:top w:val="nil"/>
              <w:left w:val="nil"/>
              <w:bottom w:val="single" w:sz="4" w:space="0" w:color="auto"/>
              <w:right w:val="single" w:sz="4" w:space="0" w:color="auto"/>
            </w:tcBorders>
            <w:shd w:val="clear" w:color="auto" w:fill="auto"/>
            <w:noWrap/>
            <w:vAlign w:val="center"/>
          </w:tcPr>
          <w:p w14:paraId="007B7776" w14:textId="52EAA652" w:rsidR="00185532" w:rsidRPr="00185532" w:rsidRDefault="00185532" w:rsidP="00C87588">
            <w:pPr>
              <w:spacing w:after="0" w:line="240" w:lineRule="auto"/>
              <w:jc w:val="right"/>
              <w:rPr>
                <w:rFonts w:eastAsia="Times New Roman"/>
                <w:color w:val="000000"/>
                <w:sz w:val="16"/>
                <w:szCs w:val="16"/>
                <w:lang w:eastAsia="sl-SI"/>
              </w:rPr>
            </w:pPr>
            <w:r w:rsidRPr="00185532">
              <w:rPr>
                <w:color w:val="000000"/>
                <w:sz w:val="16"/>
                <w:szCs w:val="16"/>
              </w:rPr>
              <w:t>18.423.072</w:t>
            </w:r>
          </w:p>
        </w:tc>
        <w:tc>
          <w:tcPr>
            <w:tcW w:w="1397" w:type="dxa"/>
            <w:tcBorders>
              <w:top w:val="nil"/>
              <w:left w:val="single" w:sz="4" w:space="0" w:color="auto"/>
              <w:bottom w:val="single" w:sz="4" w:space="0" w:color="auto"/>
              <w:right w:val="single" w:sz="4" w:space="0" w:color="auto"/>
            </w:tcBorders>
            <w:shd w:val="clear" w:color="auto" w:fill="auto"/>
            <w:noWrap/>
            <w:vAlign w:val="center"/>
          </w:tcPr>
          <w:p w14:paraId="1BA2A763" w14:textId="7A8D13D0" w:rsidR="00185532" w:rsidRPr="00824019" w:rsidRDefault="00185532" w:rsidP="00C87588">
            <w:pPr>
              <w:spacing w:after="0" w:line="240" w:lineRule="auto"/>
              <w:jc w:val="right"/>
              <w:rPr>
                <w:rFonts w:eastAsia="Times New Roman"/>
                <w:color w:val="000000"/>
                <w:sz w:val="16"/>
                <w:szCs w:val="16"/>
                <w:lang w:eastAsia="sl-SI"/>
              </w:rPr>
            </w:pPr>
          </w:p>
        </w:tc>
        <w:tc>
          <w:tcPr>
            <w:tcW w:w="1597" w:type="dxa"/>
            <w:tcBorders>
              <w:top w:val="nil"/>
              <w:left w:val="nil"/>
              <w:bottom w:val="single" w:sz="4" w:space="0" w:color="auto"/>
              <w:right w:val="single" w:sz="4" w:space="0" w:color="auto"/>
            </w:tcBorders>
            <w:shd w:val="clear" w:color="auto" w:fill="auto"/>
            <w:noWrap/>
            <w:vAlign w:val="center"/>
            <w:hideMark/>
          </w:tcPr>
          <w:p w14:paraId="49FC3950" w14:textId="77777777" w:rsidR="00185532" w:rsidRPr="00824019" w:rsidRDefault="00185532" w:rsidP="00C87588">
            <w:pPr>
              <w:spacing w:after="0" w:line="240" w:lineRule="auto"/>
              <w:jc w:val="right"/>
              <w:rPr>
                <w:rFonts w:eastAsia="Times New Roman"/>
                <w:color w:val="000000"/>
                <w:sz w:val="16"/>
                <w:szCs w:val="16"/>
                <w:lang w:eastAsia="sl-SI"/>
              </w:rPr>
            </w:pPr>
            <w:r>
              <w:rPr>
                <w:color w:val="000000"/>
                <w:sz w:val="16"/>
                <w:szCs w:val="16"/>
              </w:rPr>
              <w:t>0</w:t>
            </w:r>
          </w:p>
        </w:tc>
        <w:tc>
          <w:tcPr>
            <w:tcW w:w="1237" w:type="dxa"/>
            <w:tcBorders>
              <w:top w:val="nil"/>
              <w:left w:val="nil"/>
              <w:bottom w:val="single" w:sz="4" w:space="0" w:color="auto"/>
              <w:right w:val="single" w:sz="8" w:space="0" w:color="auto"/>
            </w:tcBorders>
            <w:shd w:val="clear" w:color="auto" w:fill="auto"/>
            <w:noWrap/>
            <w:vAlign w:val="center"/>
            <w:hideMark/>
          </w:tcPr>
          <w:p w14:paraId="6C2F87D1" w14:textId="3E690CC5" w:rsidR="00185532" w:rsidRPr="00824019" w:rsidRDefault="00B64F80" w:rsidP="00C87588">
            <w:pPr>
              <w:spacing w:after="0" w:line="240" w:lineRule="auto"/>
              <w:jc w:val="right"/>
              <w:rPr>
                <w:rFonts w:eastAsia="Times New Roman"/>
                <w:color w:val="000000"/>
                <w:sz w:val="16"/>
                <w:szCs w:val="16"/>
                <w:lang w:eastAsia="sl-SI"/>
              </w:rPr>
            </w:pPr>
            <w:r>
              <w:rPr>
                <w:rFonts w:eastAsia="Times New Roman"/>
                <w:color w:val="000000"/>
                <w:sz w:val="16"/>
                <w:szCs w:val="16"/>
                <w:lang w:eastAsia="sl-SI"/>
              </w:rPr>
              <w:t>0</w:t>
            </w:r>
          </w:p>
        </w:tc>
      </w:tr>
      <w:tr w:rsidR="00185532" w:rsidRPr="00824019" w14:paraId="61D7D77E" w14:textId="77777777" w:rsidTr="00FB706E">
        <w:trPr>
          <w:trHeight w:val="240"/>
        </w:trPr>
        <w:tc>
          <w:tcPr>
            <w:tcW w:w="3047" w:type="dxa"/>
            <w:gridSpan w:val="3"/>
            <w:tcBorders>
              <w:top w:val="single" w:sz="8" w:space="0" w:color="auto"/>
              <w:left w:val="single" w:sz="8" w:space="0" w:color="auto"/>
              <w:bottom w:val="double" w:sz="6" w:space="0" w:color="auto"/>
              <w:right w:val="single" w:sz="8" w:space="0" w:color="000000"/>
            </w:tcBorders>
            <w:shd w:val="clear" w:color="000000" w:fill="EEECE1"/>
            <w:noWrap/>
            <w:vAlign w:val="center"/>
            <w:hideMark/>
          </w:tcPr>
          <w:p w14:paraId="4BCFD524" w14:textId="77777777" w:rsidR="00185532" w:rsidRPr="00824019" w:rsidRDefault="00185532" w:rsidP="00C87588">
            <w:pPr>
              <w:spacing w:after="0" w:line="240" w:lineRule="auto"/>
              <w:jc w:val="center"/>
              <w:rPr>
                <w:rFonts w:eastAsia="Times New Roman"/>
                <w:b/>
                <w:bCs/>
                <w:color w:val="000000"/>
                <w:sz w:val="16"/>
                <w:szCs w:val="16"/>
                <w:lang w:eastAsia="sl-SI"/>
              </w:rPr>
            </w:pPr>
            <w:r w:rsidRPr="00824019">
              <w:rPr>
                <w:rFonts w:eastAsia="Times New Roman"/>
                <w:b/>
                <w:bCs/>
                <w:color w:val="000000"/>
                <w:sz w:val="16"/>
                <w:szCs w:val="16"/>
                <w:lang w:eastAsia="sl-SI"/>
              </w:rPr>
              <w:t>Skupaj YEI</w:t>
            </w:r>
          </w:p>
        </w:tc>
        <w:tc>
          <w:tcPr>
            <w:tcW w:w="1264" w:type="dxa"/>
            <w:tcBorders>
              <w:top w:val="nil"/>
              <w:left w:val="nil"/>
              <w:bottom w:val="nil"/>
              <w:right w:val="single" w:sz="4" w:space="0" w:color="auto"/>
            </w:tcBorders>
            <w:shd w:val="clear" w:color="000000" w:fill="EEECE1"/>
            <w:noWrap/>
            <w:vAlign w:val="bottom"/>
          </w:tcPr>
          <w:p w14:paraId="7F309114" w14:textId="241D21CC" w:rsidR="00185532" w:rsidRPr="00185532" w:rsidRDefault="00185532" w:rsidP="00C87588">
            <w:pPr>
              <w:spacing w:after="0" w:line="240" w:lineRule="auto"/>
              <w:jc w:val="right"/>
              <w:rPr>
                <w:rFonts w:eastAsia="Times New Roman"/>
                <w:b/>
                <w:bCs/>
                <w:color w:val="000000"/>
                <w:sz w:val="16"/>
                <w:szCs w:val="16"/>
                <w:lang w:eastAsia="sl-SI"/>
              </w:rPr>
            </w:pPr>
            <w:r w:rsidRPr="00185532">
              <w:rPr>
                <w:b/>
                <w:bCs/>
                <w:color w:val="000000"/>
                <w:sz w:val="16"/>
                <w:szCs w:val="16"/>
              </w:rPr>
              <w:t>18.423.072</w:t>
            </w:r>
          </w:p>
        </w:tc>
        <w:tc>
          <w:tcPr>
            <w:tcW w:w="1397" w:type="dxa"/>
            <w:tcBorders>
              <w:top w:val="single" w:sz="4" w:space="0" w:color="auto"/>
              <w:left w:val="nil"/>
              <w:bottom w:val="nil"/>
              <w:right w:val="single" w:sz="4" w:space="0" w:color="auto"/>
            </w:tcBorders>
            <w:shd w:val="clear" w:color="000000" w:fill="EEECE1"/>
            <w:noWrap/>
            <w:vAlign w:val="bottom"/>
          </w:tcPr>
          <w:p w14:paraId="053AA5A7" w14:textId="0EFB6F15" w:rsidR="00185532" w:rsidRPr="00824019" w:rsidRDefault="00185532" w:rsidP="00C87588">
            <w:pPr>
              <w:spacing w:after="0" w:line="240" w:lineRule="auto"/>
              <w:jc w:val="right"/>
              <w:rPr>
                <w:rFonts w:eastAsia="Times New Roman"/>
                <w:b/>
                <w:bCs/>
                <w:color w:val="000000"/>
                <w:sz w:val="16"/>
                <w:szCs w:val="16"/>
                <w:lang w:eastAsia="sl-SI"/>
              </w:rPr>
            </w:pPr>
            <w:r>
              <w:rPr>
                <w:b/>
                <w:bCs/>
                <w:color w:val="000000"/>
                <w:sz w:val="16"/>
                <w:szCs w:val="16"/>
              </w:rPr>
              <w:t>18.423.072</w:t>
            </w:r>
          </w:p>
        </w:tc>
        <w:tc>
          <w:tcPr>
            <w:tcW w:w="1597" w:type="dxa"/>
            <w:tcBorders>
              <w:top w:val="nil"/>
              <w:left w:val="nil"/>
              <w:bottom w:val="double" w:sz="6" w:space="0" w:color="auto"/>
              <w:right w:val="single" w:sz="4" w:space="0" w:color="auto"/>
            </w:tcBorders>
            <w:shd w:val="clear" w:color="000000" w:fill="EEECE1"/>
            <w:noWrap/>
            <w:vAlign w:val="center"/>
            <w:hideMark/>
          </w:tcPr>
          <w:p w14:paraId="35F1B509" w14:textId="0CECEB13" w:rsidR="00185532" w:rsidRPr="00824019" w:rsidRDefault="00932B46" w:rsidP="00C87588">
            <w:pPr>
              <w:spacing w:after="0" w:line="240" w:lineRule="auto"/>
              <w:jc w:val="right"/>
              <w:rPr>
                <w:rFonts w:eastAsia="Times New Roman"/>
                <w:b/>
                <w:bCs/>
                <w:color w:val="000000"/>
                <w:sz w:val="16"/>
                <w:szCs w:val="16"/>
                <w:lang w:eastAsia="sl-SI"/>
              </w:rPr>
            </w:pPr>
            <w:r>
              <w:rPr>
                <w:rFonts w:eastAsia="Times New Roman"/>
                <w:b/>
                <w:bCs/>
                <w:color w:val="000000"/>
                <w:sz w:val="16"/>
                <w:szCs w:val="16"/>
                <w:lang w:eastAsia="sl-SI"/>
              </w:rPr>
              <w:t>0</w:t>
            </w:r>
          </w:p>
        </w:tc>
        <w:tc>
          <w:tcPr>
            <w:tcW w:w="1237" w:type="dxa"/>
            <w:tcBorders>
              <w:top w:val="nil"/>
              <w:left w:val="nil"/>
              <w:bottom w:val="double" w:sz="6" w:space="0" w:color="auto"/>
              <w:right w:val="single" w:sz="8" w:space="0" w:color="auto"/>
            </w:tcBorders>
            <w:shd w:val="clear" w:color="000000" w:fill="EEECE1"/>
            <w:noWrap/>
            <w:vAlign w:val="center"/>
            <w:hideMark/>
          </w:tcPr>
          <w:p w14:paraId="14BAEB0C" w14:textId="77777777" w:rsidR="00185532" w:rsidRPr="00824019" w:rsidRDefault="00185532" w:rsidP="00C87588">
            <w:pPr>
              <w:spacing w:after="0" w:line="240" w:lineRule="auto"/>
              <w:jc w:val="right"/>
              <w:rPr>
                <w:rFonts w:eastAsia="Times New Roman"/>
                <w:b/>
                <w:bCs/>
                <w:color w:val="000000"/>
                <w:sz w:val="16"/>
                <w:szCs w:val="16"/>
                <w:lang w:eastAsia="sl-SI"/>
              </w:rPr>
            </w:pPr>
            <w:r>
              <w:rPr>
                <w:b/>
                <w:bCs/>
                <w:color w:val="000000"/>
                <w:sz w:val="16"/>
                <w:szCs w:val="16"/>
              </w:rPr>
              <w:t>0</w:t>
            </w:r>
          </w:p>
        </w:tc>
      </w:tr>
      <w:tr w:rsidR="00185532" w:rsidRPr="00824019" w14:paraId="73694C7E" w14:textId="77777777" w:rsidTr="00185532">
        <w:trPr>
          <w:trHeight w:val="240"/>
        </w:trPr>
        <w:tc>
          <w:tcPr>
            <w:tcW w:w="1756" w:type="dxa"/>
            <w:gridSpan w:val="2"/>
            <w:vMerge w:val="restart"/>
            <w:tcBorders>
              <w:top w:val="nil"/>
              <w:left w:val="single" w:sz="8" w:space="0" w:color="auto"/>
              <w:bottom w:val="single" w:sz="4" w:space="0" w:color="auto"/>
              <w:right w:val="single" w:sz="8" w:space="0" w:color="000000"/>
            </w:tcBorders>
            <w:shd w:val="clear" w:color="auto" w:fill="auto"/>
            <w:noWrap/>
            <w:vAlign w:val="center"/>
            <w:hideMark/>
          </w:tcPr>
          <w:p w14:paraId="3072D617" w14:textId="77777777" w:rsidR="00185532" w:rsidRPr="00824019" w:rsidRDefault="00185532" w:rsidP="00C87588">
            <w:pPr>
              <w:spacing w:after="0" w:line="240" w:lineRule="auto"/>
              <w:jc w:val="center"/>
              <w:rPr>
                <w:rFonts w:eastAsia="Times New Roman"/>
                <w:b/>
                <w:bCs/>
                <w:color w:val="000000"/>
                <w:sz w:val="16"/>
                <w:szCs w:val="16"/>
                <w:lang w:eastAsia="sl-SI"/>
              </w:rPr>
            </w:pPr>
            <w:r w:rsidRPr="00824019">
              <w:rPr>
                <w:rFonts w:eastAsia="Times New Roman"/>
                <w:b/>
                <w:bCs/>
                <w:color w:val="000000"/>
                <w:sz w:val="16"/>
                <w:szCs w:val="16"/>
                <w:lang w:eastAsia="sl-SI"/>
              </w:rPr>
              <w:t xml:space="preserve"> OP </w:t>
            </w:r>
          </w:p>
        </w:tc>
        <w:tc>
          <w:tcPr>
            <w:tcW w:w="1291" w:type="dxa"/>
            <w:tcBorders>
              <w:top w:val="nil"/>
              <w:left w:val="nil"/>
              <w:bottom w:val="single" w:sz="4" w:space="0" w:color="auto"/>
              <w:right w:val="single" w:sz="8" w:space="0" w:color="auto"/>
            </w:tcBorders>
            <w:shd w:val="clear" w:color="auto" w:fill="auto"/>
            <w:noWrap/>
            <w:vAlign w:val="center"/>
            <w:hideMark/>
          </w:tcPr>
          <w:p w14:paraId="408BF79D" w14:textId="77777777" w:rsidR="00185532" w:rsidRPr="00824019" w:rsidRDefault="00185532" w:rsidP="00C87588">
            <w:pPr>
              <w:spacing w:after="0" w:line="240" w:lineRule="auto"/>
              <w:jc w:val="center"/>
              <w:rPr>
                <w:rFonts w:eastAsia="Times New Roman"/>
                <w:color w:val="000000"/>
                <w:sz w:val="16"/>
                <w:szCs w:val="16"/>
                <w:lang w:eastAsia="sl-SI"/>
              </w:rPr>
            </w:pPr>
            <w:r w:rsidRPr="00824019">
              <w:rPr>
                <w:rFonts w:eastAsia="Times New Roman"/>
                <w:color w:val="000000"/>
                <w:sz w:val="16"/>
                <w:szCs w:val="16"/>
                <w:lang w:eastAsia="sl-SI"/>
              </w:rPr>
              <w:t>Vzhodna</w:t>
            </w:r>
          </w:p>
        </w:tc>
        <w:tc>
          <w:tcPr>
            <w:tcW w:w="1264" w:type="dxa"/>
            <w:tcBorders>
              <w:top w:val="double" w:sz="6" w:space="0" w:color="auto"/>
              <w:left w:val="nil"/>
              <w:bottom w:val="single" w:sz="4" w:space="0" w:color="auto"/>
              <w:right w:val="single" w:sz="4" w:space="0" w:color="auto"/>
            </w:tcBorders>
            <w:shd w:val="clear" w:color="auto" w:fill="auto"/>
            <w:noWrap/>
            <w:vAlign w:val="center"/>
          </w:tcPr>
          <w:p w14:paraId="54A711E8" w14:textId="23C4100A" w:rsidR="00185532" w:rsidRPr="00185532" w:rsidRDefault="00185532" w:rsidP="00C87588">
            <w:pPr>
              <w:spacing w:after="0" w:line="240" w:lineRule="auto"/>
              <w:jc w:val="right"/>
              <w:rPr>
                <w:rFonts w:eastAsia="Times New Roman"/>
                <w:color w:val="000000"/>
                <w:sz w:val="16"/>
                <w:szCs w:val="16"/>
                <w:lang w:eastAsia="sl-SI"/>
              </w:rPr>
            </w:pPr>
            <w:r w:rsidRPr="00185532">
              <w:rPr>
                <w:color w:val="000000"/>
                <w:sz w:val="16"/>
                <w:szCs w:val="16"/>
              </w:rPr>
              <w:t>1.269.233.312</w:t>
            </w:r>
          </w:p>
        </w:tc>
        <w:tc>
          <w:tcPr>
            <w:tcW w:w="1397" w:type="dxa"/>
            <w:tcBorders>
              <w:top w:val="double" w:sz="6" w:space="0" w:color="auto"/>
              <w:left w:val="nil"/>
              <w:bottom w:val="single" w:sz="4" w:space="0" w:color="auto"/>
              <w:right w:val="single" w:sz="4" w:space="0" w:color="auto"/>
            </w:tcBorders>
            <w:shd w:val="clear" w:color="auto" w:fill="auto"/>
            <w:noWrap/>
            <w:vAlign w:val="center"/>
          </w:tcPr>
          <w:p w14:paraId="2866E340" w14:textId="5E0D4210" w:rsidR="00185532" w:rsidRPr="00824019" w:rsidRDefault="00185532" w:rsidP="00C87588">
            <w:pPr>
              <w:spacing w:after="0" w:line="240" w:lineRule="auto"/>
              <w:jc w:val="right"/>
              <w:rPr>
                <w:rFonts w:eastAsia="Times New Roman"/>
                <w:color w:val="000000"/>
                <w:sz w:val="16"/>
                <w:szCs w:val="16"/>
                <w:lang w:eastAsia="sl-SI"/>
              </w:rPr>
            </w:pPr>
            <w:r w:rsidRPr="00185532">
              <w:rPr>
                <w:rFonts w:eastAsia="Times New Roman"/>
                <w:color w:val="000000"/>
                <w:sz w:val="16"/>
                <w:szCs w:val="16"/>
                <w:lang w:eastAsia="sl-SI"/>
              </w:rPr>
              <w:t>1.305.289.473</w:t>
            </w:r>
          </w:p>
        </w:tc>
        <w:tc>
          <w:tcPr>
            <w:tcW w:w="1597" w:type="dxa"/>
            <w:tcBorders>
              <w:top w:val="double" w:sz="6" w:space="0" w:color="auto"/>
              <w:left w:val="nil"/>
              <w:bottom w:val="single" w:sz="4" w:space="0" w:color="auto"/>
              <w:right w:val="single" w:sz="4" w:space="0" w:color="auto"/>
            </w:tcBorders>
            <w:shd w:val="clear" w:color="auto" w:fill="auto"/>
            <w:noWrap/>
            <w:vAlign w:val="center"/>
            <w:hideMark/>
          </w:tcPr>
          <w:p w14:paraId="0E28CC4B" w14:textId="77777777" w:rsidR="00185532" w:rsidRPr="00824019" w:rsidRDefault="00185532" w:rsidP="00C87588">
            <w:pPr>
              <w:spacing w:after="0" w:line="240" w:lineRule="auto"/>
              <w:jc w:val="right"/>
              <w:rPr>
                <w:rFonts w:eastAsia="Times New Roman"/>
                <w:color w:val="000000"/>
                <w:sz w:val="16"/>
                <w:szCs w:val="16"/>
                <w:lang w:eastAsia="sl-SI"/>
              </w:rPr>
            </w:pPr>
            <w:r>
              <w:rPr>
                <w:color w:val="000000"/>
                <w:sz w:val="16"/>
                <w:szCs w:val="16"/>
              </w:rPr>
              <w:t>36.056.161</w:t>
            </w:r>
          </w:p>
        </w:tc>
        <w:tc>
          <w:tcPr>
            <w:tcW w:w="1237" w:type="dxa"/>
            <w:tcBorders>
              <w:top w:val="nil"/>
              <w:left w:val="single" w:sz="4" w:space="0" w:color="auto"/>
              <w:bottom w:val="single" w:sz="4" w:space="0" w:color="auto"/>
              <w:right w:val="single" w:sz="8" w:space="0" w:color="auto"/>
            </w:tcBorders>
            <w:shd w:val="clear" w:color="auto" w:fill="auto"/>
            <w:noWrap/>
            <w:vAlign w:val="center"/>
            <w:hideMark/>
          </w:tcPr>
          <w:p w14:paraId="4E321C02" w14:textId="77777777" w:rsidR="00185532" w:rsidRPr="00824019" w:rsidRDefault="00185532" w:rsidP="00C87588">
            <w:pPr>
              <w:spacing w:after="0" w:line="240" w:lineRule="auto"/>
              <w:jc w:val="right"/>
              <w:rPr>
                <w:rFonts w:eastAsia="Times New Roman"/>
                <w:color w:val="000000"/>
                <w:sz w:val="16"/>
                <w:szCs w:val="16"/>
                <w:lang w:eastAsia="sl-SI"/>
              </w:rPr>
            </w:pPr>
            <w:r>
              <w:rPr>
                <w:color w:val="000000"/>
                <w:sz w:val="16"/>
                <w:szCs w:val="16"/>
              </w:rPr>
              <w:t>102,84%</w:t>
            </w:r>
          </w:p>
        </w:tc>
      </w:tr>
      <w:tr w:rsidR="00185532" w:rsidRPr="00824019" w14:paraId="5BFF3E6F" w14:textId="77777777" w:rsidTr="00185532">
        <w:trPr>
          <w:trHeight w:val="225"/>
        </w:trPr>
        <w:tc>
          <w:tcPr>
            <w:tcW w:w="1756" w:type="dxa"/>
            <w:gridSpan w:val="2"/>
            <w:vMerge/>
            <w:tcBorders>
              <w:top w:val="nil"/>
              <w:left w:val="single" w:sz="8" w:space="0" w:color="auto"/>
              <w:bottom w:val="single" w:sz="4" w:space="0" w:color="auto"/>
              <w:right w:val="single" w:sz="8" w:space="0" w:color="000000"/>
            </w:tcBorders>
            <w:vAlign w:val="center"/>
            <w:hideMark/>
          </w:tcPr>
          <w:p w14:paraId="29A880D3" w14:textId="77777777" w:rsidR="00185532" w:rsidRPr="00824019" w:rsidRDefault="00185532" w:rsidP="00C87588">
            <w:pPr>
              <w:spacing w:after="0" w:line="240" w:lineRule="auto"/>
              <w:rPr>
                <w:rFonts w:eastAsia="Times New Roman"/>
                <w:b/>
                <w:bCs/>
                <w:color w:val="000000"/>
                <w:sz w:val="16"/>
                <w:szCs w:val="16"/>
                <w:lang w:eastAsia="sl-SI"/>
              </w:rPr>
            </w:pPr>
          </w:p>
        </w:tc>
        <w:tc>
          <w:tcPr>
            <w:tcW w:w="1291" w:type="dxa"/>
            <w:tcBorders>
              <w:top w:val="nil"/>
              <w:left w:val="nil"/>
              <w:bottom w:val="single" w:sz="4" w:space="0" w:color="auto"/>
              <w:right w:val="single" w:sz="8" w:space="0" w:color="auto"/>
            </w:tcBorders>
            <w:shd w:val="clear" w:color="auto" w:fill="auto"/>
            <w:noWrap/>
            <w:vAlign w:val="center"/>
            <w:hideMark/>
          </w:tcPr>
          <w:p w14:paraId="4062ECA7" w14:textId="77777777" w:rsidR="00185532" w:rsidRPr="00824019" w:rsidRDefault="00185532" w:rsidP="00C87588">
            <w:pPr>
              <w:spacing w:after="0" w:line="240" w:lineRule="auto"/>
              <w:jc w:val="center"/>
              <w:rPr>
                <w:rFonts w:eastAsia="Times New Roman"/>
                <w:color w:val="000000"/>
                <w:sz w:val="16"/>
                <w:szCs w:val="16"/>
                <w:lang w:eastAsia="sl-SI"/>
              </w:rPr>
            </w:pPr>
            <w:r w:rsidRPr="00824019">
              <w:rPr>
                <w:rFonts w:eastAsia="Times New Roman"/>
                <w:color w:val="000000"/>
                <w:sz w:val="16"/>
                <w:szCs w:val="16"/>
                <w:lang w:eastAsia="sl-SI"/>
              </w:rPr>
              <w:t>Zahodna</w:t>
            </w:r>
          </w:p>
        </w:tc>
        <w:tc>
          <w:tcPr>
            <w:tcW w:w="1264" w:type="dxa"/>
            <w:tcBorders>
              <w:top w:val="nil"/>
              <w:left w:val="nil"/>
              <w:bottom w:val="single" w:sz="4" w:space="0" w:color="auto"/>
              <w:right w:val="single" w:sz="4" w:space="0" w:color="auto"/>
            </w:tcBorders>
            <w:shd w:val="clear" w:color="auto" w:fill="auto"/>
            <w:noWrap/>
            <w:vAlign w:val="center"/>
          </w:tcPr>
          <w:p w14:paraId="2E1D9FE1" w14:textId="33A8141F" w:rsidR="00185532" w:rsidRPr="00185532" w:rsidRDefault="00185532" w:rsidP="00C87588">
            <w:pPr>
              <w:spacing w:after="0" w:line="240" w:lineRule="auto"/>
              <w:jc w:val="right"/>
              <w:rPr>
                <w:rFonts w:eastAsia="Times New Roman"/>
                <w:color w:val="000000"/>
                <w:sz w:val="16"/>
                <w:szCs w:val="16"/>
                <w:lang w:eastAsia="sl-SI"/>
              </w:rPr>
            </w:pPr>
            <w:r w:rsidRPr="00185532">
              <w:rPr>
                <w:color w:val="000000"/>
                <w:sz w:val="16"/>
                <w:szCs w:val="16"/>
              </w:rPr>
              <w:t>847.296.093</w:t>
            </w:r>
          </w:p>
        </w:tc>
        <w:tc>
          <w:tcPr>
            <w:tcW w:w="13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8B5314" w14:textId="3DAC37DB" w:rsidR="00185532" w:rsidRPr="00824019" w:rsidRDefault="00185532" w:rsidP="00C87588">
            <w:pPr>
              <w:spacing w:after="0" w:line="240" w:lineRule="auto"/>
              <w:jc w:val="right"/>
              <w:rPr>
                <w:rFonts w:eastAsia="Times New Roman"/>
                <w:color w:val="000000"/>
                <w:sz w:val="16"/>
                <w:szCs w:val="16"/>
                <w:lang w:eastAsia="sl-SI"/>
              </w:rPr>
            </w:pPr>
            <w:r w:rsidRPr="00185532">
              <w:rPr>
                <w:rFonts w:eastAsia="Times New Roman"/>
                <w:color w:val="000000"/>
                <w:sz w:val="16"/>
                <w:szCs w:val="16"/>
                <w:lang w:eastAsia="sl-SI"/>
              </w:rPr>
              <w:t>848.588.557</w:t>
            </w:r>
          </w:p>
        </w:tc>
        <w:tc>
          <w:tcPr>
            <w:tcW w:w="1597" w:type="dxa"/>
            <w:tcBorders>
              <w:top w:val="single" w:sz="4" w:space="0" w:color="auto"/>
              <w:left w:val="nil"/>
              <w:bottom w:val="single" w:sz="4" w:space="0" w:color="auto"/>
              <w:right w:val="single" w:sz="4" w:space="0" w:color="auto"/>
            </w:tcBorders>
            <w:shd w:val="clear" w:color="auto" w:fill="auto"/>
            <w:noWrap/>
            <w:vAlign w:val="center"/>
            <w:hideMark/>
          </w:tcPr>
          <w:p w14:paraId="18FF0607" w14:textId="77777777" w:rsidR="00185532" w:rsidRPr="00824019" w:rsidRDefault="00185532" w:rsidP="00C87588">
            <w:pPr>
              <w:spacing w:after="0" w:line="240" w:lineRule="auto"/>
              <w:jc w:val="right"/>
              <w:rPr>
                <w:rFonts w:eastAsia="Times New Roman"/>
                <w:color w:val="000000"/>
                <w:sz w:val="16"/>
                <w:szCs w:val="16"/>
                <w:lang w:eastAsia="sl-SI"/>
              </w:rPr>
            </w:pPr>
            <w:r>
              <w:rPr>
                <w:color w:val="000000"/>
                <w:sz w:val="16"/>
                <w:szCs w:val="16"/>
              </w:rPr>
              <w:t>1.292.464</w:t>
            </w:r>
          </w:p>
        </w:tc>
        <w:tc>
          <w:tcPr>
            <w:tcW w:w="1237" w:type="dxa"/>
            <w:tcBorders>
              <w:top w:val="nil"/>
              <w:left w:val="nil"/>
              <w:bottom w:val="single" w:sz="4" w:space="0" w:color="auto"/>
              <w:right w:val="single" w:sz="8" w:space="0" w:color="auto"/>
            </w:tcBorders>
            <w:shd w:val="clear" w:color="auto" w:fill="auto"/>
            <w:noWrap/>
            <w:vAlign w:val="center"/>
            <w:hideMark/>
          </w:tcPr>
          <w:p w14:paraId="0A96F344" w14:textId="77777777" w:rsidR="00185532" w:rsidRPr="00824019" w:rsidRDefault="00185532" w:rsidP="00C87588">
            <w:pPr>
              <w:spacing w:after="0" w:line="240" w:lineRule="auto"/>
              <w:jc w:val="right"/>
              <w:rPr>
                <w:rFonts w:eastAsia="Times New Roman"/>
                <w:color w:val="000000"/>
                <w:sz w:val="16"/>
                <w:szCs w:val="16"/>
                <w:lang w:eastAsia="sl-SI"/>
              </w:rPr>
            </w:pPr>
            <w:r>
              <w:rPr>
                <w:color w:val="000000"/>
                <w:sz w:val="16"/>
                <w:szCs w:val="16"/>
              </w:rPr>
              <w:t>100,15%</w:t>
            </w:r>
          </w:p>
        </w:tc>
      </w:tr>
      <w:tr w:rsidR="00185532" w:rsidRPr="00824019" w14:paraId="73EE836A" w14:textId="77777777" w:rsidTr="00185532">
        <w:trPr>
          <w:trHeight w:val="225"/>
        </w:trPr>
        <w:tc>
          <w:tcPr>
            <w:tcW w:w="1756" w:type="dxa"/>
            <w:gridSpan w:val="2"/>
            <w:vMerge/>
            <w:tcBorders>
              <w:top w:val="nil"/>
              <w:left w:val="single" w:sz="8" w:space="0" w:color="auto"/>
              <w:bottom w:val="single" w:sz="4" w:space="0" w:color="auto"/>
              <w:right w:val="single" w:sz="8" w:space="0" w:color="000000"/>
            </w:tcBorders>
            <w:vAlign w:val="center"/>
            <w:hideMark/>
          </w:tcPr>
          <w:p w14:paraId="6A0B1425" w14:textId="77777777" w:rsidR="00185532" w:rsidRPr="00824019" w:rsidRDefault="00185532" w:rsidP="00C87588">
            <w:pPr>
              <w:spacing w:after="0" w:line="240" w:lineRule="auto"/>
              <w:rPr>
                <w:rFonts w:eastAsia="Times New Roman"/>
                <w:b/>
                <w:bCs/>
                <w:color w:val="000000"/>
                <w:sz w:val="16"/>
                <w:szCs w:val="16"/>
                <w:lang w:eastAsia="sl-SI"/>
              </w:rPr>
            </w:pPr>
          </w:p>
        </w:tc>
        <w:tc>
          <w:tcPr>
            <w:tcW w:w="1291" w:type="dxa"/>
            <w:tcBorders>
              <w:top w:val="nil"/>
              <w:left w:val="nil"/>
              <w:bottom w:val="single" w:sz="4" w:space="0" w:color="auto"/>
              <w:right w:val="single" w:sz="8" w:space="0" w:color="auto"/>
            </w:tcBorders>
            <w:shd w:val="clear" w:color="auto" w:fill="auto"/>
            <w:noWrap/>
            <w:vAlign w:val="center"/>
            <w:hideMark/>
          </w:tcPr>
          <w:p w14:paraId="4610B7E4" w14:textId="77777777" w:rsidR="00185532" w:rsidRPr="00824019" w:rsidRDefault="00185532" w:rsidP="00C87588">
            <w:pPr>
              <w:spacing w:after="0" w:line="240" w:lineRule="auto"/>
              <w:jc w:val="center"/>
              <w:rPr>
                <w:rFonts w:eastAsia="Times New Roman"/>
                <w:color w:val="000000"/>
                <w:sz w:val="16"/>
                <w:szCs w:val="16"/>
                <w:lang w:eastAsia="sl-SI"/>
              </w:rPr>
            </w:pPr>
            <w:r w:rsidRPr="00824019">
              <w:rPr>
                <w:rFonts w:eastAsia="Times New Roman"/>
                <w:color w:val="000000"/>
                <w:sz w:val="16"/>
                <w:szCs w:val="16"/>
                <w:lang w:eastAsia="sl-SI"/>
              </w:rPr>
              <w:t>Celotna</w:t>
            </w:r>
          </w:p>
        </w:tc>
        <w:tc>
          <w:tcPr>
            <w:tcW w:w="1264" w:type="dxa"/>
            <w:tcBorders>
              <w:top w:val="nil"/>
              <w:left w:val="nil"/>
              <w:bottom w:val="single" w:sz="4" w:space="0" w:color="auto"/>
              <w:right w:val="single" w:sz="4" w:space="0" w:color="auto"/>
            </w:tcBorders>
            <w:shd w:val="clear" w:color="auto" w:fill="auto"/>
            <w:noWrap/>
            <w:vAlign w:val="center"/>
          </w:tcPr>
          <w:p w14:paraId="0A6B879D" w14:textId="5218ABDF" w:rsidR="00185532" w:rsidRPr="00185532" w:rsidRDefault="00185532" w:rsidP="00C87588">
            <w:pPr>
              <w:spacing w:after="0" w:line="240" w:lineRule="auto"/>
              <w:jc w:val="right"/>
              <w:rPr>
                <w:rFonts w:eastAsia="Times New Roman"/>
                <w:color w:val="000000"/>
                <w:sz w:val="16"/>
                <w:szCs w:val="16"/>
                <w:lang w:eastAsia="sl-SI"/>
              </w:rPr>
            </w:pPr>
            <w:r w:rsidRPr="00185532">
              <w:rPr>
                <w:color w:val="000000"/>
                <w:sz w:val="16"/>
                <w:szCs w:val="16"/>
              </w:rPr>
              <w:t>895.370.363</w:t>
            </w:r>
          </w:p>
        </w:tc>
        <w:tc>
          <w:tcPr>
            <w:tcW w:w="1397" w:type="dxa"/>
            <w:tcBorders>
              <w:top w:val="nil"/>
              <w:left w:val="single" w:sz="4" w:space="0" w:color="auto"/>
              <w:bottom w:val="single" w:sz="4" w:space="0" w:color="auto"/>
              <w:right w:val="single" w:sz="4" w:space="0" w:color="auto"/>
            </w:tcBorders>
            <w:shd w:val="clear" w:color="auto" w:fill="auto"/>
            <w:noWrap/>
            <w:vAlign w:val="center"/>
          </w:tcPr>
          <w:p w14:paraId="5A3E4715" w14:textId="12E79072" w:rsidR="00185532" w:rsidRPr="00824019" w:rsidRDefault="00185532" w:rsidP="00C87588">
            <w:pPr>
              <w:spacing w:after="0" w:line="240" w:lineRule="auto"/>
              <w:jc w:val="right"/>
              <w:rPr>
                <w:rFonts w:eastAsia="Times New Roman"/>
                <w:color w:val="000000"/>
                <w:sz w:val="16"/>
                <w:szCs w:val="16"/>
                <w:lang w:eastAsia="sl-SI"/>
              </w:rPr>
            </w:pPr>
            <w:r w:rsidRPr="00185532">
              <w:rPr>
                <w:rFonts w:eastAsia="Times New Roman"/>
                <w:color w:val="000000"/>
                <w:sz w:val="16"/>
                <w:szCs w:val="16"/>
                <w:lang w:eastAsia="sl-SI"/>
              </w:rPr>
              <w:t>914.046.895</w:t>
            </w:r>
          </w:p>
        </w:tc>
        <w:tc>
          <w:tcPr>
            <w:tcW w:w="1597" w:type="dxa"/>
            <w:tcBorders>
              <w:top w:val="nil"/>
              <w:left w:val="nil"/>
              <w:bottom w:val="single" w:sz="4" w:space="0" w:color="auto"/>
              <w:right w:val="single" w:sz="4" w:space="0" w:color="auto"/>
            </w:tcBorders>
            <w:shd w:val="clear" w:color="auto" w:fill="auto"/>
            <w:noWrap/>
            <w:vAlign w:val="center"/>
            <w:hideMark/>
          </w:tcPr>
          <w:p w14:paraId="2239E18C" w14:textId="77777777" w:rsidR="00185532" w:rsidRPr="00824019" w:rsidRDefault="00185532" w:rsidP="00C87588">
            <w:pPr>
              <w:spacing w:after="0" w:line="240" w:lineRule="auto"/>
              <w:jc w:val="right"/>
              <w:rPr>
                <w:rFonts w:eastAsia="Times New Roman"/>
                <w:color w:val="000000"/>
                <w:sz w:val="16"/>
                <w:szCs w:val="16"/>
                <w:lang w:eastAsia="sl-SI"/>
              </w:rPr>
            </w:pPr>
            <w:r>
              <w:rPr>
                <w:color w:val="000000"/>
                <w:sz w:val="16"/>
                <w:szCs w:val="16"/>
              </w:rPr>
              <w:t>18.676.532</w:t>
            </w:r>
          </w:p>
        </w:tc>
        <w:tc>
          <w:tcPr>
            <w:tcW w:w="1237" w:type="dxa"/>
            <w:tcBorders>
              <w:top w:val="nil"/>
              <w:left w:val="nil"/>
              <w:bottom w:val="single" w:sz="4" w:space="0" w:color="auto"/>
              <w:right w:val="single" w:sz="8" w:space="0" w:color="auto"/>
            </w:tcBorders>
            <w:shd w:val="clear" w:color="auto" w:fill="auto"/>
            <w:noWrap/>
            <w:vAlign w:val="center"/>
            <w:hideMark/>
          </w:tcPr>
          <w:p w14:paraId="218E876F" w14:textId="77777777" w:rsidR="00185532" w:rsidRPr="00824019" w:rsidRDefault="00185532" w:rsidP="00C87588">
            <w:pPr>
              <w:spacing w:after="0" w:line="240" w:lineRule="auto"/>
              <w:jc w:val="right"/>
              <w:rPr>
                <w:rFonts w:eastAsia="Times New Roman"/>
                <w:color w:val="000000"/>
                <w:sz w:val="16"/>
                <w:szCs w:val="16"/>
                <w:lang w:eastAsia="sl-SI"/>
              </w:rPr>
            </w:pPr>
            <w:r>
              <w:rPr>
                <w:color w:val="000000"/>
                <w:sz w:val="16"/>
                <w:szCs w:val="16"/>
              </w:rPr>
              <w:t>102,09%</w:t>
            </w:r>
          </w:p>
        </w:tc>
      </w:tr>
      <w:tr w:rsidR="00185532" w:rsidRPr="00824019" w14:paraId="6A8E53F2" w14:textId="77777777" w:rsidTr="00185532">
        <w:trPr>
          <w:trHeight w:val="240"/>
        </w:trPr>
        <w:tc>
          <w:tcPr>
            <w:tcW w:w="878" w:type="dxa"/>
            <w:tcBorders>
              <w:top w:val="nil"/>
              <w:left w:val="single" w:sz="8" w:space="0" w:color="auto"/>
              <w:bottom w:val="double" w:sz="6" w:space="0" w:color="auto"/>
              <w:right w:val="single" w:sz="4" w:space="0" w:color="auto"/>
            </w:tcBorders>
            <w:shd w:val="clear" w:color="000000" w:fill="EEECE1"/>
            <w:noWrap/>
            <w:vAlign w:val="center"/>
            <w:hideMark/>
          </w:tcPr>
          <w:p w14:paraId="20346E66" w14:textId="77777777" w:rsidR="00185532" w:rsidRPr="00824019" w:rsidRDefault="00185532" w:rsidP="00C87588">
            <w:pPr>
              <w:spacing w:after="0" w:line="240" w:lineRule="auto"/>
              <w:rPr>
                <w:rFonts w:eastAsia="Times New Roman"/>
                <w:b/>
                <w:bCs/>
                <w:color w:val="000000"/>
                <w:sz w:val="16"/>
                <w:szCs w:val="16"/>
                <w:lang w:eastAsia="sl-SI"/>
              </w:rPr>
            </w:pPr>
            <w:r w:rsidRPr="00824019">
              <w:rPr>
                <w:rFonts w:eastAsia="Times New Roman"/>
                <w:b/>
                <w:bCs/>
                <w:color w:val="000000"/>
                <w:sz w:val="16"/>
                <w:szCs w:val="16"/>
                <w:lang w:eastAsia="sl-SI"/>
              </w:rPr>
              <w:t xml:space="preserve">SKUPAJ OP </w:t>
            </w:r>
          </w:p>
        </w:tc>
        <w:tc>
          <w:tcPr>
            <w:tcW w:w="878" w:type="dxa"/>
            <w:tcBorders>
              <w:top w:val="nil"/>
              <w:left w:val="nil"/>
              <w:bottom w:val="double" w:sz="6" w:space="0" w:color="auto"/>
              <w:right w:val="single" w:sz="4" w:space="0" w:color="auto"/>
            </w:tcBorders>
            <w:shd w:val="clear" w:color="000000" w:fill="EEECE1"/>
            <w:noWrap/>
            <w:vAlign w:val="center"/>
            <w:hideMark/>
          </w:tcPr>
          <w:p w14:paraId="167C0052" w14:textId="77777777" w:rsidR="00185532" w:rsidRPr="00824019" w:rsidRDefault="00185532" w:rsidP="00C87588">
            <w:pPr>
              <w:spacing w:after="0" w:line="240" w:lineRule="auto"/>
              <w:rPr>
                <w:rFonts w:eastAsia="Times New Roman"/>
                <w:b/>
                <w:bCs/>
                <w:color w:val="000000"/>
                <w:sz w:val="16"/>
                <w:szCs w:val="16"/>
                <w:lang w:eastAsia="sl-SI"/>
              </w:rPr>
            </w:pPr>
            <w:r w:rsidRPr="00824019">
              <w:rPr>
                <w:rFonts w:eastAsia="Times New Roman"/>
                <w:b/>
                <w:bCs/>
                <w:color w:val="000000"/>
                <w:sz w:val="16"/>
                <w:szCs w:val="16"/>
                <w:lang w:eastAsia="sl-SI"/>
              </w:rPr>
              <w:t> </w:t>
            </w:r>
          </w:p>
        </w:tc>
        <w:tc>
          <w:tcPr>
            <w:tcW w:w="1291" w:type="dxa"/>
            <w:tcBorders>
              <w:top w:val="nil"/>
              <w:left w:val="nil"/>
              <w:bottom w:val="double" w:sz="6" w:space="0" w:color="auto"/>
              <w:right w:val="single" w:sz="8" w:space="0" w:color="auto"/>
            </w:tcBorders>
            <w:shd w:val="clear" w:color="000000" w:fill="EEECE1"/>
            <w:noWrap/>
            <w:vAlign w:val="center"/>
          </w:tcPr>
          <w:p w14:paraId="2E250549" w14:textId="63973B45" w:rsidR="00185532" w:rsidRPr="00824019" w:rsidRDefault="00185532" w:rsidP="00C87588">
            <w:pPr>
              <w:spacing w:after="0" w:line="240" w:lineRule="auto"/>
              <w:rPr>
                <w:rFonts w:eastAsia="Times New Roman"/>
                <w:b/>
                <w:bCs/>
                <w:color w:val="000000"/>
                <w:sz w:val="16"/>
                <w:szCs w:val="16"/>
                <w:lang w:eastAsia="sl-SI"/>
              </w:rPr>
            </w:pPr>
          </w:p>
        </w:tc>
        <w:tc>
          <w:tcPr>
            <w:tcW w:w="1264" w:type="dxa"/>
            <w:tcBorders>
              <w:top w:val="nil"/>
              <w:left w:val="nil"/>
              <w:bottom w:val="double" w:sz="6" w:space="0" w:color="auto"/>
              <w:right w:val="single" w:sz="4" w:space="0" w:color="auto"/>
            </w:tcBorders>
            <w:shd w:val="clear" w:color="000000" w:fill="EEECE1"/>
            <w:noWrap/>
            <w:vAlign w:val="center"/>
          </w:tcPr>
          <w:p w14:paraId="5D487D89" w14:textId="3BC9BCAE" w:rsidR="00185532" w:rsidRPr="00185532" w:rsidRDefault="00185532" w:rsidP="00C87588">
            <w:pPr>
              <w:spacing w:after="0" w:line="240" w:lineRule="auto"/>
              <w:jc w:val="right"/>
              <w:rPr>
                <w:rFonts w:eastAsia="Times New Roman"/>
                <w:b/>
                <w:bCs/>
                <w:color w:val="000000"/>
                <w:sz w:val="16"/>
                <w:szCs w:val="16"/>
                <w:lang w:eastAsia="sl-SI"/>
              </w:rPr>
            </w:pPr>
            <w:r w:rsidRPr="00185532">
              <w:rPr>
                <w:b/>
                <w:bCs/>
                <w:color w:val="000000"/>
                <w:sz w:val="16"/>
                <w:szCs w:val="16"/>
              </w:rPr>
              <w:t>3.011.899.768</w:t>
            </w:r>
          </w:p>
        </w:tc>
        <w:tc>
          <w:tcPr>
            <w:tcW w:w="1397" w:type="dxa"/>
            <w:tcBorders>
              <w:top w:val="nil"/>
              <w:left w:val="nil"/>
              <w:bottom w:val="double" w:sz="6" w:space="0" w:color="auto"/>
              <w:right w:val="single" w:sz="4" w:space="0" w:color="auto"/>
            </w:tcBorders>
            <w:shd w:val="clear" w:color="000000" w:fill="EEECE1"/>
            <w:noWrap/>
            <w:vAlign w:val="center"/>
          </w:tcPr>
          <w:p w14:paraId="4104DD91" w14:textId="21124EFF" w:rsidR="00185532" w:rsidRPr="00824019" w:rsidRDefault="00185532" w:rsidP="00C87588">
            <w:pPr>
              <w:spacing w:after="0" w:line="240" w:lineRule="auto"/>
              <w:jc w:val="right"/>
              <w:rPr>
                <w:rFonts w:eastAsia="Times New Roman"/>
                <w:b/>
                <w:bCs/>
                <w:color w:val="000000"/>
                <w:sz w:val="16"/>
                <w:szCs w:val="16"/>
                <w:lang w:eastAsia="sl-SI"/>
              </w:rPr>
            </w:pPr>
            <w:r w:rsidRPr="00185532">
              <w:rPr>
                <w:rFonts w:eastAsia="Times New Roman"/>
                <w:b/>
                <w:bCs/>
                <w:color w:val="000000"/>
                <w:sz w:val="16"/>
                <w:szCs w:val="16"/>
                <w:lang w:eastAsia="sl-SI"/>
              </w:rPr>
              <w:t>3.067.924.925</w:t>
            </w:r>
          </w:p>
        </w:tc>
        <w:tc>
          <w:tcPr>
            <w:tcW w:w="1597" w:type="dxa"/>
            <w:tcBorders>
              <w:top w:val="nil"/>
              <w:left w:val="nil"/>
              <w:bottom w:val="double" w:sz="6" w:space="0" w:color="auto"/>
              <w:right w:val="single" w:sz="4" w:space="0" w:color="auto"/>
            </w:tcBorders>
            <w:shd w:val="clear" w:color="000000" w:fill="EEECE1"/>
            <w:noWrap/>
            <w:vAlign w:val="center"/>
            <w:hideMark/>
          </w:tcPr>
          <w:p w14:paraId="72B4D39F" w14:textId="2FE67EEB" w:rsidR="00185532" w:rsidRPr="00824019" w:rsidRDefault="00185532" w:rsidP="00C87588">
            <w:pPr>
              <w:spacing w:after="0" w:line="240" w:lineRule="auto"/>
              <w:jc w:val="right"/>
              <w:rPr>
                <w:rFonts w:eastAsia="Times New Roman"/>
                <w:b/>
                <w:bCs/>
                <w:color w:val="000000"/>
                <w:sz w:val="16"/>
                <w:szCs w:val="16"/>
                <w:lang w:eastAsia="sl-SI"/>
              </w:rPr>
            </w:pPr>
            <w:r>
              <w:rPr>
                <w:rFonts w:eastAsia="Times New Roman"/>
                <w:b/>
                <w:bCs/>
                <w:color w:val="000000"/>
                <w:sz w:val="16"/>
                <w:szCs w:val="16"/>
                <w:lang w:eastAsia="sl-SI"/>
              </w:rPr>
              <w:t>56.025.157</w:t>
            </w:r>
          </w:p>
        </w:tc>
        <w:tc>
          <w:tcPr>
            <w:tcW w:w="1237" w:type="dxa"/>
            <w:tcBorders>
              <w:top w:val="nil"/>
              <w:left w:val="nil"/>
              <w:bottom w:val="double" w:sz="6" w:space="0" w:color="auto"/>
              <w:right w:val="single" w:sz="8" w:space="0" w:color="auto"/>
            </w:tcBorders>
            <w:shd w:val="clear" w:color="000000" w:fill="EEECE1"/>
            <w:noWrap/>
            <w:vAlign w:val="center"/>
            <w:hideMark/>
          </w:tcPr>
          <w:p w14:paraId="1E2773B3" w14:textId="77777777" w:rsidR="00185532" w:rsidRPr="00824019" w:rsidRDefault="00185532" w:rsidP="00C87588">
            <w:pPr>
              <w:spacing w:after="0" w:line="240" w:lineRule="auto"/>
              <w:jc w:val="right"/>
              <w:rPr>
                <w:rFonts w:eastAsia="Times New Roman"/>
                <w:b/>
                <w:bCs/>
                <w:color w:val="000000"/>
                <w:sz w:val="16"/>
                <w:szCs w:val="16"/>
                <w:lang w:eastAsia="sl-SI"/>
              </w:rPr>
            </w:pPr>
            <w:r w:rsidRPr="00824019">
              <w:rPr>
                <w:rFonts w:eastAsia="Times New Roman"/>
                <w:b/>
                <w:bCs/>
                <w:color w:val="000000"/>
                <w:sz w:val="16"/>
                <w:szCs w:val="16"/>
                <w:lang w:eastAsia="sl-SI"/>
              </w:rPr>
              <w:t>101,86%</w:t>
            </w:r>
          </w:p>
        </w:tc>
      </w:tr>
    </w:tbl>
    <w:p w14:paraId="71375469" w14:textId="77777777" w:rsidR="00C87588" w:rsidRDefault="00C87588" w:rsidP="00C87588">
      <w:pPr>
        <w:jc w:val="both"/>
        <w:rPr>
          <w:rFonts w:ascii="Arial" w:eastAsia="Times New Roman" w:hAnsi="Arial"/>
          <w:b/>
          <w:sz w:val="20"/>
          <w:szCs w:val="24"/>
        </w:rPr>
      </w:pPr>
    </w:p>
    <w:p w14:paraId="72AE36C1" w14:textId="77777777" w:rsidR="00C87588" w:rsidRPr="00C120BE" w:rsidRDefault="00C87588" w:rsidP="00C87588">
      <w:pPr>
        <w:jc w:val="both"/>
      </w:pPr>
      <w:r>
        <w:rPr>
          <w:rFonts w:ascii="Arial" w:eastAsia="Times New Roman" w:hAnsi="Arial"/>
          <w:b/>
          <w:sz w:val="20"/>
          <w:szCs w:val="24"/>
        </w:rPr>
        <w:t xml:space="preserve">Tabela 4: </w:t>
      </w:r>
      <w:r>
        <w:rPr>
          <w:b/>
        </w:rPr>
        <w:t xml:space="preserve">Pregled sprememb na področju finančnih instrumentov </w:t>
      </w:r>
      <w:r w:rsidRPr="00C120BE">
        <w:t>(v evrih)</w:t>
      </w:r>
    </w:p>
    <w:tbl>
      <w:tblPr>
        <w:tblW w:w="7245" w:type="dxa"/>
        <w:tblInd w:w="55" w:type="dxa"/>
        <w:tblCellMar>
          <w:left w:w="70" w:type="dxa"/>
          <w:right w:w="70" w:type="dxa"/>
        </w:tblCellMar>
        <w:tblLook w:val="04A0" w:firstRow="1" w:lastRow="0" w:firstColumn="1" w:lastColumn="0" w:noHBand="0" w:noVBand="1"/>
      </w:tblPr>
      <w:tblGrid>
        <w:gridCol w:w="4260"/>
        <w:gridCol w:w="1433"/>
        <w:gridCol w:w="1685"/>
      </w:tblGrid>
      <w:tr w:rsidR="00C87588" w:rsidRPr="00C44EC6" w14:paraId="0D41B139" w14:textId="77777777" w:rsidTr="00C87588">
        <w:trPr>
          <w:trHeight w:val="300"/>
        </w:trPr>
        <w:tc>
          <w:tcPr>
            <w:tcW w:w="4260" w:type="dxa"/>
            <w:tcBorders>
              <w:top w:val="single" w:sz="4" w:space="0" w:color="auto"/>
              <w:left w:val="single" w:sz="4" w:space="0" w:color="auto"/>
              <w:bottom w:val="single" w:sz="4" w:space="0" w:color="auto"/>
              <w:right w:val="nil"/>
            </w:tcBorders>
            <w:shd w:val="clear" w:color="auto" w:fill="A6A6A6" w:themeFill="background1" w:themeFillShade="A6"/>
            <w:noWrap/>
            <w:vAlign w:val="bottom"/>
            <w:hideMark/>
          </w:tcPr>
          <w:p w14:paraId="207778A3" w14:textId="77777777" w:rsidR="00C87588" w:rsidRPr="00C44EC6" w:rsidRDefault="00C87588" w:rsidP="00C87588">
            <w:pPr>
              <w:spacing w:after="0" w:line="240" w:lineRule="auto"/>
              <w:rPr>
                <w:rFonts w:eastAsia="Times New Roman"/>
                <w:b/>
                <w:color w:val="000000"/>
                <w:sz w:val="18"/>
                <w:szCs w:val="18"/>
                <w:lang w:eastAsia="sl-SI"/>
              </w:rPr>
            </w:pPr>
            <w:r w:rsidRPr="002A1C3D">
              <w:rPr>
                <w:b/>
              </w:rPr>
              <w:t xml:space="preserve"> </w:t>
            </w:r>
            <w:r w:rsidRPr="002A1C3D">
              <w:rPr>
                <w:rFonts w:eastAsia="Times New Roman"/>
                <w:b/>
                <w:color w:val="000000"/>
                <w:sz w:val="18"/>
                <w:szCs w:val="18"/>
                <w:lang w:eastAsia="sl-SI"/>
              </w:rPr>
              <w:t>Prednostna naložba</w:t>
            </w:r>
          </w:p>
        </w:tc>
        <w:tc>
          <w:tcPr>
            <w:tcW w:w="1300"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225BB5B2" w14:textId="77777777" w:rsidR="00C87588" w:rsidRPr="00C44EC6" w:rsidRDefault="00C87588" w:rsidP="00C87588">
            <w:pPr>
              <w:spacing w:after="0" w:line="240" w:lineRule="auto"/>
              <w:rPr>
                <w:rFonts w:eastAsia="Times New Roman"/>
                <w:b/>
                <w:color w:val="000000"/>
                <w:sz w:val="18"/>
                <w:szCs w:val="18"/>
                <w:lang w:eastAsia="sl-SI"/>
              </w:rPr>
            </w:pPr>
            <w:r w:rsidRPr="002A1C3D">
              <w:rPr>
                <w:rFonts w:eastAsia="Times New Roman"/>
                <w:b/>
                <w:color w:val="000000"/>
                <w:sz w:val="18"/>
                <w:szCs w:val="18"/>
                <w:lang w:eastAsia="sl-SI"/>
              </w:rPr>
              <w:t>Znižanje</w:t>
            </w:r>
            <w:r>
              <w:rPr>
                <w:rFonts w:eastAsia="Times New Roman"/>
                <w:b/>
                <w:color w:val="000000"/>
                <w:sz w:val="18"/>
                <w:szCs w:val="18"/>
                <w:lang w:eastAsia="sl-SI"/>
              </w:rPr>
              <w:t>/zvišanje</w:t>
            </w:r>
            <w:r w:rsidRPr="002A1C3D">
              <w:rPr>
                <w:rFonts w:eastAsia="Times New Roman"/>
                <w:b/>
                <w:color w:val="000000"/>
                <w:sz w:val="18"/>
                <w:szCs w:val="18"/>
                <w:lang w:eastAsia="sl-SI"/>
              </w:rPr>
              <w:t xml:space="preserve"> FI</w:t>
            </w:r>
          </w:p>
        </w:tc>
        <w:tc>
          <w:tcPr>
            <w:tcW w:w="1685" w:type="dxa"/>
            <w:tcBorders>
              <w:top w:val="single" w:sz="4" w:space="0" w:color="auto"/>
              <w:left w:val="nil"/>
              <w:bottom w:val="single" w:sz="4" w:space="0" w:color="auto"/>
              <w:right w:val="single" w:sz="4" w:space="0" w:color="auto"/>
            </w:tcBorders>
            <w:shd w:val="clear" w:color="auto" w:fill="A6A6A6" w:themeFill="background1" w:themeFillShade="A6"/>
            <w:noWrap/>
            <w:vAlign w:val="bottom"/>
            <w:hideMark/>
          </w:tcPr>
          <w:p w14:paraId="33563526" w14:textId="77777777" w:rsidR="00C87588" w:rsidRPr="00C44EC6" w:rsidRDefault="00C87588" w:rsidP="00C87588">
            <w:pPr>
              <w:spacing w:after="0" w:line="240" w:lineRule="auto"/>
              <w:rPr>
                <w:rFonts w:eastAsia="Times New Roman"/>
                <w:b/>
                <w:color w:val="000000"/>
                <w:sz w:val="18"/>
                <w:szCs w:val="18"/>
                <w:lang w:eastAsia="sl-SI"/>
              </w:rPr>
            </w:pPr>
            <w:r w:rsidRPr="00C44EC6">
              <w:rPr>
                <w:rFonts w:eastAsia="Times New Roman"/>
                <w:b/>
                <w:color w:val="000000"/>
                <w:sz w:val="18"/>
                <w:szCs w:val="18"/>
                <w:lang w:eastAsia="sl-SI"/>
              </w:rPr>
              <w:t>prerazporeditev na</w:t>
            </w:r>
            <w:r>
              <w:rPr>
                <w:rFonts w:eastAsia="Times New Roman"/>
                <w:b/>
                <w:color w:val="000000"/>
                <w:sz w:val="18"/>
                <w:szCs w:val="18"/>
                <w:lang w:eastAsia="sl-SI"/>
              </w:rPr>
              <w:t>/iz</w:t>
            </w:r>
          </w:p>
        </w:tc>
      </w:tr>
      <w:tr w:rsidR="00C87588" w:rsidRPr="00C44EC6" w14:paraId="7081EE00" w14:textId="77777777" w:rsidTr="00C87588">
        <w:trPr>
          <w:trHeight w:val="510"/>
        </w:trPr>
        <w:tc>
          <w:tcPr>
            <w:tcW w:w="4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C3896F3" w14:textId="77777777" w:rsidR="00C87588" w:rsidRPr="00C44EC6" w:rsidRDefault="00C87588" w:rsidP="00C87588">
            <w:pPr>
              <w:spacing w:after="0" w:line="240" w:lineRule="auto"/>
              <w:rPr>
                <w:rFonts w:eastAsia="Times New Roman"/>
                <w:color w:val="000000"/>
                <w:sz w:val="18"/>
                <w:szCs w:val="18"/>
                <w:lang w:eastAsia="sl-SI"/>
              </w:rPr>
            </w:pPr>
            <w:r>
              <w:rPr>
                <w:rFonts w:eastAsia="Times New Roman"/>
                <w:color w:val="000000"/>
                <w:sz w:val="18"/>
                <w:szCs w:val="18"/>
                <w:lang w:eastAsia="sl-SI"/>
              </w:rPr>
              <w:t xml:space="preserve">1.2 </w:t>
            </w:r>
            <w:r w:rsidRPr="00C44EC6">
              <w:rPr>
                <w:rFonts w:eastAsia="Times New Roman"/>
                <w:color w:val="000000"/>
                <w:sz w:val="18"/>
                <w:szCs w:val="18"/>
                <w:lang w:eastAsia="sl-SI"/>
              </w:rPr>
              <w:t xml:space="preserve">Spodbujanje naložb podjetij v raziskave in inovacije </w:t>
            </w:r>
          </w:p>
        </w:tc>
        <w:tc>
          <w:tcPr>
            <w:tcW w:w="1300" w:type="dxa"/>
            <w:tcBorders>
              <w:top w:val="nil"/>
              <w:left w:val="nil"/>
              <w:bottom w:val="single" w:sz="4" w:space="0" w:color="auto"/>
              <w:right w:val="single" w:sz="4" w:space="0" w:color="auto"/>
            </w:tcBorders>
            <w:shd w:val="clear" w:color="auto" w:fill="D9D9D9" w:themeFill="background1" w:themeFillShade="D9"/>
            <w:noWrap/>
            <w:vAlign w:val="bottom"/>
            <w:hideMark/>
          </w:tcPr>
          <w:p w14:paraId="1203A772" w14:textId="77777777" w:rsidR="00C87588" w:rsidRPr="00C44EC6" w:rsidRDefault="00C87588" w:rsidP="00C87588">
            <w:pPr>
              <w:spacing w:after="0" w:line="240" w:lineRule="auto"/>
              <w:jc w:val="right"/>
              <w:rPr>
                <w:rFonts w:eastAsia="Times New Roman"/>
                <w:color w:val="000000"/>
                <w:sz w:val="18"/>
                <w:szCs w:val="18"/>
                <w:lang w:eastAsia="sl-SI"/>
              </w:rPr>
            </w:pPr>
            <w:r w:rsidRPr="00C44EC6">
              <w:rPr>
                <w:rFonts w:eastAsia="Times New Roman"/>
                <w:color w:val="000000"/>
                <w:sz w:val="18"/>
                <w:szCs w:val="18"/>
                <w:lang w:eastAsia="sl-SI"/>
              </w:rPr>
              <w:t>-40.000.000</w:t>
            </w:r>
          </w:p>
        </w:tc>
        <w:tc>
          <w:tcPr>
            <w:tcW w:w="1685" w:type="dxa"/>
            <w:tcBorders>
              <w:top w:val="nil"/>
              <w:left w:val="nil"/>
              <w:bottom w:val="single" w:sz="4" w:space="0" w:color="auto"/>
              <w:right w:val="single" w:sz="4" w:space="0" w:color="auto"/>
            </w:tcBorders>
            <w:shd w:val="clear" w:color="auto" w:fill="D9D9D9" w:themeFill="background1" w:themeFillShade="D9"/>
            <w:noWrap/>
            <w:vAlign w:val="center"/>
            <w:hideMark/>
          </w:tcPr>
          <w:p w14:paraId="313B789D" w14:textId="77777777" w:rsidR="00C87588" w:rsidRDefault="00C87588" w:rsidP="00C87588">
            <w:pPr>
              <w:spacing w:after="0" w:line="240" w:lineRule="auto"/>
              <w:jc w:val="right"/>
              <w:rPr>
                <w:rFonts w:eastAsia="Times New Roman"/>
                <w:color w:val="000000"/>
                <w:sz w:val="18"/>
                <w:szCs w:val="18"/>
                <w:lang w:eastAsia="sl-SI"/>
              </w:rPr>
            </w:pPr>
          </w:p>
          <w:p w14:paraId="518EDB5A" w14:textId="77777777" w:rsidR="00C87588" w:rsidRPr="00C44EC6" w:rsidRDefault="00C87588" w:rsidP="00C87588">
            <w:pPr>
              <w:spacing w:after="0" w:line="240" w:lineRule="auto"/>
              <w:jc w:val="right"/>
              <w:rPr>
                <w:rFonts w:eastAsia="Times New Roman"/>
                <w:color w:val="000000"/>
                <w:sz w:val="18"/>
                <w:szCs w:val="18"/>
                <w:lang w:eastAsia="sl-SI"/>
              </w:rPr>
            </w:pPr>
            <w:r>
              <w:rPr>
                <w:rFonts w:eastAsia="Times New Roman"/>
                <w:color w:val="000000"/>
                <w:sz w:val="18"/>
                <w:szCs w:val="18"/>
                <w:lang w:eastAsia="sl-SI"/>
              </w:rPr>
              <w:t>+</w:t>
            </w:r>
            <w:r w:rsidRPr="00C44EC6">
              <w:rPr>
                <w:rFonts w:eastAsia="Times New Roman"/>
                <w:color w:val="000000"/>
                <w:sz w:val="18"/>
                <w:szCs w:val="18"/>
                <w:lang w:eastAsia="sl-SI"/>
              </w:rPr>
              <w:t>40.000.000</w:t>
            </w:r>
          </w:p>
        </w:tc>
      </w:tr>
      <w:tr w:rsidR="00C87588" w:rsidRPr="00C44EC6" w14:paraId="66A04D21" w14:textId="77777777" w:rsidTr="00C87588">
        <w:trPr>
          <w:trHeight w:val="300"/>
        </w:trPr>
        <w:tc>
          <w:tcPr>
            <w:tcW w:w="4260" w:type="dxa"/>
            <w:tcBorders>
              <w:top w:val="nil"/>
              <w:left w:val="single" w:sz="4" w:space="0" w:color="auto"/>
              <w:bottom w:val="single" w:sz="4" w:space="0" w:color="auto"/>
              <w:right w:val="single" w:sz="4" w:space="0" w:color="auto"/>
            </w:tcBorders>
            <w:shd w:val="clear" w:color="000000" w:fill="D9D9D9"/>
            <w:vAlign w:val="center"/>
            <w:hideMark/>
          </w:tcPr>
          <w:p w14:paraId="43945BD4" w14:textId="77777777" w:rsidR="00C87588" w:rsidRPr="00C44EC6" w:rsidRDefault="00C87588" w:rsidP="00C87588">
            <w:pPr>
              <w:spacing w:after="0" w:line="240" w:lineRule="auto"/>
              <w:rPr>
                <w:rFonts w:eastAsia="Times New Roman"/>
                <w:color w:val="000000"/>
                <w:sz w:val="18"/>
                <w:szCs w:val="18"/>
                <w:lang w:eastAsia="sl-SI"/>
              </w:rPr>
            </w:pPr>
            <w:r w:rsidRPr="00C44EC6">
              <w:rPr>
                <w:rFonts w:eastAsia="Times New Roman"/>
                <w:color w:val="000000"/>
                <w:sz w:val="18"/>
                <w:szCs w:val="18"/>
                <w:lang w:eastAsia="sl-SI"/>
              </w:rPr>
              <w:t>3.1 Spodbujanje podjetništva</w:t>
            </w:r>
          </w:p>
        </w:tc>
        <w:tc>
          <w:tcPr>
            <w:tcW w:w="1300" w:type="dxa"/>
            <w:tcBorders>
              <w:top w:val="nil"/>
              <w:left w:val="nil"/>
              <w:bottom w:val="single" w:sz="4" w:space="0" w:color="auto"/>
              <w:right w:val="single" w:sz="4" w:space="0" w:color="auto"/>
            </w:tcBorders>
            <w:shd w:val="clear" w:color="auto" w:fill="auto"/>
            <w:noWrap/>
            <w:vAlign w:val="center"/>
            <w:hideMark/>
          </w:tcPr>
          <w:p w14:paraId="2D93A829" w14:textId="77777777" w:rsidR="00C87588" w:rsidRPr="00C44EC6" w:rsidRDefault="00C87588" w:rsidP="00C87588">
            <w:pPr>
              <w:spacing w:after="0" w:line="240" w:lineRule="auto"/>
              <w:jc w:val="right"/>
              <w:rPr>
                <w:rFonts w:eastAsia="Times New Roman"/>
                <w:color w:val="000000"/>
                <w:sz w:val="18"/>
                <w:szCs w:val="18"/>
                <w:lang w:eastAsia="sl-SI"/>
              </w:rPr>
            </w:pPr>
            <w:r w:rsidRPr="00C44EC6">
              <w:rPr>
                <w:rFonts w:eastAsia="Times New Roman"/>
                <w:color w:val="000000"/>
                <w:sz w:val="18"/>
                <w:szCs w:val="18"/>
                <w:lang w:eastAsia="sl-SI"/>
              </w:rPr>
              <w:t>-120.000.000</w:t>
            </w:r>
          </w:p>
        </w:tc>
        <w:tc>
          <w:tcPr>
            <w:tcW w:w="1685" w:type="dxa"/>
            <w:tcBorders>
              <w:top w:val="nil"/>
              <w:left w:val="nil"/>
              <w:bottom w:val="single" w:sz="4" w:space="0" w:color="auto"/>
              <w:right w:val="single" w:sz="4" w:space="0" w:color="auto"/>
            </w:tcBorders>
            <w:shd w:val="clear" w:color="auto" w:fill="auto"/>
            <w:noWrap/>
            <w:vAlign w:val="bottom"/>
            <w:hideMark/>
          </w:tcPr>
          <w:p w14:paraId="14A70610" w14:textId="77777777" w:rsidR="00C87588" w:rsidRPr="00C44EC6" w:rsidRDefault="00C87588" w:rsidP="00C87588">
            <w:pPr>
              <w:spacing w:after="0" w:line="240" w:lineRule="auto"/>
              <w:rPr>
                <w:rFonts w:eastAsia="Times New Roman"/>
                <w:color w:val="000000"/>
                <w:sz w:val="18"/>
                <w:szCs w:val="18"/>
                <w:lang w:eastAsia="sl-SI"/>
              </w:rPr>
            </w:pPr>
            <w:r w:rsidRPr="00C44EC6">
              <w:rPr>
                <w:rFonts w:eastAsia="Times New Roman"/>
                <w:color w:val="000000"/>
                <w:sz w:val="18"/>
                <w:szCs w:val="18"/>
                <w:lang w:eastAsia="sl-SI"/>
              </w:rPr>
              <w:t> </w:t>
            </w:r>
          </w:p>
        </w:tc>
      </w:tr>
      <w:tr w:rsidR="00C87588" w:rsidRPr="00C44EC6" w14:paraId="691EE6E4" w14:textId="77777777" w:rsidTr="00C87588">
        <w:trPr>
          <w:trHeight w:val="300"/>
        </w:trPr>
        <w:tc>
          <w:tcPr>
            <w:tcW w:w="4260" w:type="dxa"/>
            <w:tcBorders>
              <w:top w:val="nil"/>
              <w:left w:val="single" w:sz="4" w:space="0" w:color="auto"/>
              <w:bottom w:val="single" w:sz="4" w:space="0" w:color="auto"/>
              <w:right w:val="single" w:sz="4" w:space="0" w:color="auto"/>
            </w:tcBorders>
            <w:shd w:val="clear" w:color="auto" w:fill="auto"/>
            <w:vAlign w:val="center"/>
            <w:hideMark/>
          </w:tcPr>
          <w:p w14:paraId="2EBBE978" w14:textId="77777777" w:rsidR="00C87588" w:rsidRPr="00C44EC6" w:rsidRDefault="00C87588" w:rsidP="00C87588">
            <w:pPr>
              <w:spacing w:after="0" w:line="240" w:lineRule="auto"/>
              <w:jc w:val="center"/>
              <w:rPr>
                <w:rFonts w:eastAsia="Times New Roman"/>
                <w:color w:val="000000"/>
                <w:sz w:val="18"/>
                <w:szCs w:val="18"/>
                <w:lang w:eastAsia="sl-SI"/>
              </w:rPr>
            </w:pPr>
            <w:r>
              <w:rPr>
                <w:rFonts w:eastAsia="Times New Roman"/>
                <w:color w:val="000000"/>
                <w:sz w:val="18"/>
                <w:szCs w:val="18"/>
                <w:lang w:eastAsia="sl-SI"/>
              </w:rPr>
              <w:t xml:space="preserve">                      </w:t>
            </w:r>
            <w:r w:rsidRPr="00C44EC6">
              <w:rPr>
                <w:rFonts w:eastAsia="Times New Roman"/>
                <w:color w:val="000000"/>
                <w:sz w:val="18"/>
                <w:szCs w:val="18"/>
                <w:lang w:eastAsia="sl-SI"/>
              </w:rPr>
              <w:t>3.1 Spodbujanje podjetništva</w:t>
            </w:r>
          </w:p>
        </w:tc>
        <w:tc>
          <w:tcPr>
            <w:tcW w:w="1300" w:type="dxa"/>
            <w:tcBorders>
              <w:top w:val="nil"/>
              <w:left w:val="nil"/>
              <w:bottom w:val="single" w:sz="4" w:space="0" w:color="auto"/>
              <w:right w:val="single" w:sz="4" w:space="0" w:color="auto"/>
            </w:tcBorders>
            <w:shd w:val="clear" w:color="auto" w:fill="auto"/>
            <w:noWrap/>
            <w:vAlign w:val="center"/>
            <w:hideMark/>
          </w:tcPr>
          <w:p w14:paraId="79F86B72" w14:textId="77777777" w:rsidR="00C87588" w:rsidRPr="00C44EC6" w:rsidRDefault="00C87588" w:rsidP="00C87588">
            <w:pPr>
              <w:spacing w:after="0" w:line="240" w:lineRule="auto"/>
              <w:rPr>
                <w:rFonts w:eastAsia="Times New Roman"/>
                <w:color w:val="000000"/>
                <w:sz w:val="18"/>
                <w:szCs w:val="18"/>
                <w:lang w:eastAsia="sl-SI"/>
              </w:rPr>
            </w:pPr>
            <w:r w:rsidRPr="00C44EC6">
              <w:rPr>
                <w:rFonts w:eastAsia="Times New Roman"/>
                <w:color w:val="000000"/>
                <w:sz w:val="18"/>
                <w:szCs w:val="18"/>
                <w:lang w:eastAsia="sl-SI"/>
              </w:rPr>
              <w:t> </w:t>
            </w:r>
          </w:p>
        </w:tc>
        <w:tc>
          <w:tcPr>
            <w:tcW w:w="1685" w:type="dxa"/>
            <w:tcBorders>
              <w:top w:val="nil"/>
              <w:left w:val="nil"/>
              <w:bottom w:val="single" w:sz="4" w:space="0" w:color="auto"/>
              <w:right w:val="single" w:sz="4" w:space="0" w:color="auto"/>
            </w:tcBorders>
            <w:shd w:val="clear" w:color="auto" w:fill="auto"/>
            <w:noWrap/>
            <w:vAlign w:val="bottom"/>
            <w:hideMark/>
          </w:tcPr>
          <w:p w14:paraId="4A3EDFDC" w14:textId="77777777" w:rsidR="00C87588" w:rsidRPr="00C44EC6" w:rsidRDefault="00C87588" w:rsidP="00C87588">
            <w:pPr>
              <w:spacing w:after="0" w:line="240" w:lineRule="auto"/>
              <w:jc w:val="right"/>
              <w:rPr>
                <w:rFonts w:eastAsia="Times New Roman"/>
                <w:color w:val="000000"/>
                <w:sz w:val="18"/>
                <w:szCs w:val="18"/>
                <w:lang w:eastAsia="sl-SI"/>
              </w:rPr>
            </w:pPr>
            <w:r>
              <w:rPr>
                <w:rFonts w:eastAsia="Times New Roman"/>
                <w:color w:val="000000"/>
                <w:sz w:val="18"/>
                <w:szCs w:val="18"/>
                <w:lang w:eastAsia="sl-SI"/>
              </w:rPr>
              <w:t>+</w:t>
            </w:r>
            <w:r w:rsidRPr="00C44EC6">
              <w:rPr>
                <w:rFonts w:eastAsia="Times New Roman"/>
                <w:color w:val="000000"/>
                <w:sz w:val="18"/>
                <w:szCs w:val="18"/>
                <w:lang w:eastAsia="sl-SI"/>
              </w:rPr>
              <w:t>39.010.050</w:t>
            </w:r>
          </w:p>
        </w:tc>
      </w:tr>
      <w:tr w:rsidR="00C87588" w:rsidRPr="00C44EC6" w14:paraId="60060E31" w14:textId="77777777" w:rsidTr="00C87588">
        <w:trPr>
          <w:trHeight w:val="300"/>
        </w:trPr>
        <w:tc>
          <w:tcPr>
            <w:tcW w:w="4260" w:type="dxa"/>
            <w:tcBorders>
              <w:top w:val="nil"/>
              <w:left w:val="single" w:sz="4" w:space="0" w:color="auto"/>
              <w:bottom w:val="single" w:sz="4" w:space="0" w:color="auto"/>
              <w:right w:val="single" w:sz="4" w:space="0" w:color="auto"/>
            </w:tcBorders>
            <w:shd w:val="clear" w:color="auto" w:fill="auto"/>
            <w:vAlign w:val="center"/>
          </w:tcPr>
          <w:p w14:paraId="618CAF37" w14:textId="77777777" w:rsidR="00C87588" w:rsidRPr="00C44EC6" w:rsidRDefault="00C87588" w:rsidP="00C87588">
            <w:pPr>
              <w:spacing w:after="0" w:line="240" w:lineRule="auto"/>
              <w:jc w:val="center"/>
              <w:rPr>
                <w:rFonts w:eastAsia="Times New Roman"/>
                <w:color w:val="000000"/>
                <w:sz w:val="18"/>
                <w:szCs w:val="18"/>
                <w:lang w:eastAsia="sl-SI"/>
              </w:rPr>
            </w:pPr>
            <w:r>
              <w:rPr>
                <w:rFonts w:eastAsia="Times New Roman"/>
                <w:color w:val="000000"/>
                <w:sz w:val="18"/>
                <w:szCs w:val="18"/>
                <w:lang w:eastAsia="sl-SI"/>
              </w:rPr>
              <w:t xml:space="preserve">                 4.4. Trajnostna mobilnost</w:t>
            </w:r>
          </w:p>
        </w:tc>
        <w:tc>
          <w:tcPr>
            <w:tcW w:w="1300" w:type="dxa"/>
            <w:tcBorders>
              <w:top w:val="nil"/>
              <w:left w:val="nil"/>
              <w:bottom w:val="single" w:sz="4" w:space="0" w:color="auto"/>
              <w:right w:val="single" w:sz="4" w:space="0" w:color="auto"/>
            </w:tcBorders>
            <w:shd w:val="clear" w:color="auto" w:fill="auto"/>
            <w:noWrap/>
            <w:vAlign w:val="center"/>
          </w:tcPr>
          <w:p w14:paraId="6D2AAA84" w14:textId="77777777" w:rsidR="00C87588" w:rsidRPr="00C44EC6" w:rsidRDefault="00C87588" w:rsidP="00C87588">
            <w:pPr>
              <w:spacing w:after="0" w:line="240" w:lineRule="auto"/>
              <w:rPr>
                <w:rFonts w:eastAsia="Times New Roman"/>
                <w:color w:val="000000"/>
                <w:sz w:val="18"/>
                <w:szCs w:val="18"/>
                <w:lang w:eastAsia="sl-SI"/>
              </w:rPr>
            </w:pPr>
          </w:p>
        </w:tc>
        <w:tc>
          <w:tcPr>
            <w:tcW w:w="1685" w:type="dxa"/>
            <w:tcBorders>
              <w:top w:val="nil"/>
              <w:left w:val="nil"/>
              <w:bottom w:val="single" w:sz="4" w:space="0" w:color="auto"/>
              <w:right w:val="single" w:sz="4" w:space="0" w:color="auto"/>
            </w:tcBorders>
            <w:shd w:val="clear" w:color="auto" w:fill="auto"/>
            <w:noWrap/>
            <w:vAlign w:val="bottom"/>
          </w:tcPr>
          <w:p w14:paraId="18DC8C7B" w14:textId="77777777" w:rsidR="00C87588" w:rsidRDefault="00C87588" w:rsidP="00C87588">
            <w:pPr>
              <w:spacing w:after="0" w:line="240" w:lineRule="auto"/>
              <w:jc w:val="right"/>
              <w:rPr>
                <w:rFonts w:eastAsia="Times New Roman"/>
                <w:color w:val="000000"/>
                <w:sz w:val="18"/>
                <w:szCs w:val="18"/>
                <w:lang w:eastAsia="sl-SI"/>
              </w:rPr>
            </w:pPr>
            <w:r>
              <w:rPr>
                <w:rFonts w:eastAsia="Times New Roman"/>
                <w:color w:val="000000"/>
                <w:sz w:val="18"/>
                <w:szCs w:val="18"/>
                <w:lang w:eastAsia="sl-SI"/>
              </w:rPr>
              <w:t>5.000.000</w:t>
            </w:r>
          </w:p>
        </w:tc>
      </w:tr>
      <w:tr w:rsidR="00C87588" w:rsidRPr="00C44EC6" w14:paraId="2A8F5623" w14:textId="77777777" w:rsidTr="00C87588">
        <w:trPr>
          <w:trHeight w:val="300"/>
        </w:trPr>
        <w:tc>
          <w:tcPr>
            <w:tcW w:w="4260" w:type="dxa"/>
            <w:tcBorders>
              <w:top w:val="nil"/>
              <w:left w:val="single" w:sz="4" w:space="0" w:color="auto"/>
              <w:bottom w:val="single" w:sz="4" w:space="0" w:color="auto"/>
              <w:right w:val="single" w:sz="4" w:space="0" w:color="auto"/>
            </w:tcBorders>
            <w:shd w:val="clear" w:color="auto" w:fill="auto"/>
            <w:vAlign w:val="center"/>
            <w:hideMark/>
          </w:tcPr>
          <w:p w14:paraId="635B60E4" w14:textId="77777777" w:rsidR="00C87588" w:rsidRPr="00C44EC6" w:rsidRDefault="00C87588" w:rsidP="00C87588">
            <w:pPr>
              <w:spacing w:after="0" w:line="240" w:lineRule="auto"/>
              <w:jc w:val="center"/>
              <w:rPr>
                <w:rFonts w:eastAsia="Times New Roman"/>
                <w:color w:val="000000"/>
                <w:sz w:val="18"/>
                <w:szCs w:val="18"/>
                <w:lang w:eastAsia="sl-SI"/>
              </w:rPr>
            </w:pPr>
            <w:r>
              <w:rPr>
                <w:rFonts w:eastAsia="Times New Roman"/>
                <w:color w:val="000000"/>
                <w:sz w:val="18"/>
                <w:szCs w:val="18"/>
                <w:lang w:eastAsia="sl-SI"/>
              </w:rPr>
              <w:t xml:space="preserve">                     </w:t>
            </w:r>
            <w:r w:rsidRPr="00C44EC6">
              <w:rPr>
                <w:rFonts w:eastAsia="Times New Roman"/>
                <w:color w:val="000000"/>
                <w:sz w:val="18"/>
                <w:szCs w:val="18"/>
                <w:lang w:eastAsia="sl-SI"/>
              </w:rPr>
              <w:t xml:space="preserve">6.1 Vlaganje v vodni sektor </w:t>
            </w:r>
          </w:p>
        </w:tc>
        <w:tc>
          <w:tcPr>
            <w:tcW w:w="1300" w:type="dxa"/>
            <w:tcBorders>
              <w:top w:val="nil"/>
              <w:left w:val="nil"/>
              <w:bottom w:val="single" w:sz="4" w:space="0" w:color="auto"/>
              <w:right w:val="single" w:sz="4" w:space="0" w:color="auto"/>
            </w:tcBorders>
            <w:shd w:val="clear" w:color="auto" w:fill="auto"/>
            <w:noWrap/>
            <w:vAlign w:val="center"/>
            <w:hideMark/>
          </w:tcPr>
          <w:p w14:paraId="43A0E4AB" w14:textId="77777777" w:rsidR="00C87588" w:rsidRPr="00C44EC6" w:rsidRDefault="00C87588" w:rsidP="00C87588">
            <w:pPr>
              <w:spacing w:after="0" w:line="240" w:lineRule="auto"/>
              <w:rPr>
                <w:rFonts w:eastAsia="Times New Roman"/>
                <w:color w:val="000000"/>
                <w:sz w:val="18"/>
                <w:szCs w:val="18"/>
                <w:lang w:eastAsia="sl-SI"/>
              </w:rPr>
            </w:pPr>
            <w:r w:rsidRPr="00C44EC6">
              <w:rPr>
                <w:rFonts w:eastAsia="Times New Roman"/>
                <w:color w:val="000000"/>
                <w:sz w:val="18"/>
                <w:szCs w:val="18"/>
                <w:lang w:eastAsia="sl-SI"/>
              </w:rPr>
              <w:t> </w:t>
            </w:r>
          </w:p>
        </w:tc>
        <w:tc>
          <w:tcPr>
            <w:tcW w:w="1685" w:type="dxa"/>
            <w:tcBorders>
              <w:top w:val="nil"/>
              <w:left w:val="nil"/>
              <w:bottom w:val="single" w:sz="4" w:space="0" w:color="auto"/>
              <w:right w:val="single" w:sz="4" w:space="0" w:color="auto"/>
            </w:tcBorders>
            <w:shd w:val="clear" w:color="auto" w:fill="auto"/>
            <w:noWrap/>
            <w:vAlign w:val="bottom"/>
            <w:hideMark/>
          </w:tcPr>
          <w:p w14:paraId="0E7145CC" w14:textId="77777777" w:rsidR="00C87588" w:rsidRPr="00C44EC6" w:rsidRDefault="00C87588" w:rsidP="00C87588">
            <w:pPr>
              <w:spacing w:after="0" w:line="240" w:lineRule="auto"/>
              <w:jc w:val="right"/>
              <w:rPr>
                <w:rFonts w:eastAsia="Times New Roman"/>
                <w:color w:val="000000"/>
                <w:sz w:val="18"/>
                <w:szCs w:val="18"/>
                <w:lang w:eastAsia="sl-SI"/>
              </w:rPr>
            </w:pPr>
            <w:r>
              <w:rPr>
                <w:rFonts w:eastAsia="Times New Roman"/>
                <w:color w:val="000000"/>
                <w:sz w:val="18"/>
                <w:szCs w:val="18"/>
                <w:lang w:eastAsia="sl-SI"/>
              </w:rPr>
              <w:t>+</w:t>
            </w:r>
            <w:r w:rsidRPr="00C44EC6">
              <w:rPr>
                <w:rFonts w:eastAsia="Times New Roman"/>
                <w:color w:val="000000"/>
                <w:sz w:val="18"/>
                <w:szCs w:val="18"/>
                <w:lang w:eastAsia="sl-SI"/>
              </w:rPr>
              <w:t>10.000.000</w:t>
            </w:r>
          </w:p>
        </w:tc>
      </w:tr>
      <w:tr w:rsidR="00C87588" w:rsidRPr="00C44EC6" w14:paraId="4533B482" w14:textId="77777777" w:rsidTr="00C87588">
        <w:trPr>
          <w:trHeight w:val="421"/>
        </w:trPr>
        <w:tc>
          <w:tcPr>
            <w:tcW w:w="4260" w:type="dxa"/>
            <w:tcBorders>
              <w:top w:val="nil"/>
              <w:left w:val="single" w:sz="4" w:space="0" w:color="auto"/>
              <w:bottom w:val="single" w:sz="4" w:space="0" w:color="auto"/>
              <w:right w:val="single" w:sz="4" w:space="0" w:color="auto"/>
            </w:tcBorders>
            <w:shd w:val="clear" w:color="auto" w:fill="auto"/>
            <w:vAlign w:val="center"/>
            <w:hideMark/>
          </w:tcPr>
          <w:p w14:paraId="57E84AF0" w14:textId="77777777" w:rsidR="00C87588" w:rsidRPr="00C44EC6" w:rsidRDefault="00C87588" w:rsidP="00C87588">
            <w:pPr>
              <w:spacing w:after="0" w:line="240" w:lineRule="auto"/>
              <w:jc w:val="right"/>
              <w:rPr>
                <w:rFonts w:eastAsia="Times New Roman"/>
                <w:color w:val="000000"/>
                <w:sz w:val="18"/>
                <w:szCs w:val="18"/>
                <w:lang w:eastAsia="sl-SI"/>
              </w:rPr>
            </w:pPr>
            <w:r w:rsidRPr="00C44EC6">
              <w:rPr>
                <w:rFonts w:eastAsia="Times New Roman"/>
                <w:color w:val="000000"/>
                <w:sz w:val="18"/>
                <w:szCs w:val="18"/>
                <w:lang w:eastAsia="sl-SI"/>
              </w:rPr>
              <w:t xml:space="preserve">7.1 Razvoj in obnova celostnih železniških sistemov </w:t>
            </w:r>
          </w:p>
        </w:tc>
        <w:tc>
          <w:tcPr>
            <w:tcW w:w="1300" w:type="dxa"/>
            <w:tcBorders>
              <w:top w:val="nil"/>
              <w:left w:val="nil"/>
              <w:bottom w:val="single" w:sz="4" w:space="0" w:color="auto"/>
              <w:right w:val="single" w:sz="4" w:space="0" w:color="auto"/>
            </w:tcBorders>
            <w:shd w:val="clear" w:color="auto" w:fill="auto"/>
            <w:noWrap/>
            <w:vAlign w:val="center"/>
            <w:hideMark/>
          </w:tcPr>
          <w:p w14:paraId="058FCB4F" w14:textId="77777777" w:rsidR="00C87588" w:rsidRPr="00C44EC6" w:rsidRDefault="00C87588" w:rsidP="00C87588">
            <w:pPr>
              <w:spacing w:after="0" w:line="240" w:lineRule="auto"/>
              <w:rPr>
                <w:rFonts w:eastAsia="Times New Roman"/>
                <w:color w:val="000000"/>
                <w:sz w:val="18"/>
                <w:szCs w:val="18"/>
                <w:lang w:eastAsia="sl-SI"/>
              </w:rPr>
            </w:pPr>
            <w:r w:rsidRPr="00C44EC6">
              <w:rPr>
                <w:rFonts w:eastAsia="Times New Roman"/>
                <w:color w:val="000000"/>
                <w:sz w:val="18"/>
                <w:szCs w:val="18"/>
                <w:lang w:eastAsia="sl-SI"/>
              </w:rPr>
              <w:t> </w:t>
            </w:r>
          </w:p>
        </w:tc>
        <w:tc>
          <w:tcPr>
            <w:tcW w:w="1685" w:type="dxa"/>
            <w:tcBorders>
              <w:top w:val="nil"/>
              <w:left w:val="nil"/>
              <w:bottom w:val="single" w:sz="4" w:space="0" w:color="auto"/>
              <w:right w:val="single" w:sz="4" w:space="0" w:color="auto"/>
            </w:tcBorders>
            <w:shd w:val="clear" w:color="auto" w:fill="auto"/>
            <w:noWrap/>
            <w:vAlign w:val="bottom"/>
            <w:hideMark/>
          </w:tcPr>
          <w:p w14:paraId="78773B4F" w14:textId="77777777" w:rsidR="00C87588" w:rsidRPr="005525BA" w:rsidRDefault="00C87588" w:rsidP="00C87588">
            <w:pPr>
              <w:spacing w:after="0" w:line="240" w:lineRule="auto"/>
              <w:jc w:val="right"/>
              <w:rPr>
                <w:rFonts w:eastAsia="Times New Roman"/>
                <w:color w:val="000000"/>
                <w:sz w:val="18"/>
                <w:szCs w:val="18"/>
                <w:lang w:eastAsia="sl-SI"/>
              </w:rPr>
            </w:pPr>
          </w:p>
          <w:p w14:paraId="112B4CF3" w14:textId="77777777" w:rsidR="00C87588" w:rsidRPr="00C44EC6" w:rsidRDefault="00C87588" w:rsidP="00C87588">
            <w:pPr>
              <w:spacing w:after="0" w:line="240" w:lineRule="auto"/>
              <w:jc w:val="right"/>
              <w:rPr>
                <w:rFonts w:eastAsia="Times New Roman"/>
                <w:color w:val="000000"/>
                <w:sz w:val="18"/>
                <w:szCs w:val="18"/>
                <w:lang w:eastAsia="sl-SI"/>
              </w:rPr>
            </w:pPr>
            <w:r w:rsidRPr="00EF53A4">
              <w:rPr>
                <w:rFonts w:eastAsia="Times New Roman"/>
                <w:color w:val="000000"/>
                <w:sz w:val="18"/>
                <w:szCs w:val="18"/>
                <w:lang w:eastAsia="sl-SI"/>
              </w:rPr>
              <w:t>37</w:t>
            </w:r>
            <w:r>
              <w:rPr>
                <w:rFonts w:eastAsia="Times New Roman"/>
                <w:color w:val="000000"/>
                <w:sz w:val="18"/>
                <w:szCs w:val="18"/>
                <w:lang w:eastAsia="sl-SI"/>
              </w:rPr>
              <w:t>.</w:t>
            </w:r>
            <w:r w:rsidRPr="00EF53A4">
              <w:rPr>
                <w:rFonts w:eastAsia="Times New Roman"/>
                <w:color w:val="000000"/>
                <w:sz w:val="18"/>
                <w:szCs w:val="18"/>
                <w:lang w:eastAsia="sl-SI"/>
              </w:rPr>
              <w:t>222</w:t>
            </w:r>
            <w:r>
              <w:rPr>
                <w:rFonts w:eastAsia="Times New Roman"/>
                <w:color w:val="000000"/>
                <w:sz w:val="18"/>
                <w:szCs w:val="18"/>
                <w:lang w:eastAsia="sl-SI"/>
              </w:rPr>
              <w:t>.</w:t>
            </w:r>
            <w:r w:rsidRPr="00EF53A4">
              <w:rPr>
                <w:rFonts w:eastAsia="Times New Roman"/>
                <w:color w:val="000000"/>
                <w:sz w:val="18"/>
                <w:szCs w:val="18"/>
                <w:lang w:eastAsia="sl-SI"/>
              </w:rPr>
              <w:t>678</w:t>
            </w:r>
          </w:p>
        </w:tc>
      </w:tr>
      <w:tr w:rsidR="00C87588" w:rsidRPr="00C44EC6" w14:paraId="4FF3984E" w14:textId="77777777" w:rsidTr="00C87588">
        <w:trPr>
          <w:trHeight w:val="215"/>
        </w:trPr>
        <w:tc>
          <w:tcPr>
            <w:tcW w:w="4260" w:type="dxa"/>
            <w:tcBorders>
              <w:top w:val="nil"/>
              <w:left w:val="single" w:sz="4" w:space="0" w:color="auto"/>
              <w:bottom w:val="single" w:sz="4" w:space="0" w:color="auto"/>
              <w:right w:val="single" w:sz="4" w:space="0" w:color="auto"/>
            </w:tcBorders>
            <w:shd w:val="clear" w:color="auto" w:fill="auto"/>
            <w:vAlign w:val="center"/>
            <w:hideMark/>
          </w:tcPr>
          <w:p w14:paraId="6BA0BBD6" w14:textId="77777777" w:rsidR="00C87588" w:rsidRPr="00C44EC6" w:rsidRDefault="00C87588" w:rsidP="00C87588">
            <w:pPr>
              <w:spacing w:after="0" w:line="240" w:lineRule="auto"/>
              <w:jc w:val="right"/>
              <w:rPr>
                <w:rFonts w:eastAsia="Times New Roman"/>
                <w:color w:val="000000"/>
                <w:sz w:val="18"/>
                <w:szCs w:val="18"/>
                <w:lang w:eastAsia="sl-SI"/>
              </w:rPr>
            </w:pPr>
            <w:r w:rsidRPr="00C44EC6">
              <w:rPr>
                <w:rFonts w:eastAsia="Times New Roman"/>
                <w:color w:val="000000"/>
                <w:sz w:val="18"/>
                <w:szCs w:val="18"/>
                <w:lang w:eastAsia="sl-SI"/>
              </w:rPr>
              <w:t>7.2 Izboljšanje regionalne mobilnosti</w:t>
            </w:r>
          </w:p>
        </w:tc>
        <w:tc>
          <w:tcPr>
            <w:tcW w:w="1300" w:type="dxa"/>
            <w:tcBorders>
              <w:top w:val="nil"/>
              <w:left w:val="nil"/>
              <w:bottom w:val="single" w:sz="4" w:space="0" w:color="auto"/>
              <w:right w:val="single" w:sz="4" w:space="0" w:color="auto"/>
            </w:tcBorders>
            <w:shd w:val="clear" w:color="auto" w:fill="auto"/>
            <w:noWrap/>
            <w:vAlign w:val="bottom"/>
            <w:hideMark/>
          </w:tcPr>
          <w:p w14:paraId="1052EE11" w14:textId="77777777" w:rsidR="00C87588" w:rsidRPr="00C44EC6" w:rsidRDefault="00C87588" w:rsidP="00C87588">
            <w:pPr>
              <w:spacing w:after="0" w:line="240" w:lineRule="auto"/>
              <w:rPr>
                <w:rFonts w:eastAsia="Times New Roman"/>
                <w:color w:val="000000"/>
                <w:sz w:val="18"/>
                <w:szCs w:val="18"/>
                <w:lang w:eastAsia="sl-SI"/>
              </w:rPr>
            </w:pPr>
            <w:r w:rsidRPr="00C44EC6">
              <w:rPr>
                <w:rFonts w:eastAsia="Times New Roman"/>
                <w:color w:val="000000"/>
                <w:sz w:val="18"/>
                <w:szCs w:val="18"/>
                <w:lang w:eastAsia="sl-SI"/>
              </w:rPr>
              <w:t> </w:t>
            </w:r>
          </w:p>
        </w:tc>
        <w:tc>
          <w:tcPr>
            <w:tcW w:w="1685" w:type="dxa"/>
            <w:tcBorders>
              <w:top w:val="nil"/>
              <w:left w:val="nil"/>
              <w:bottom w:val="single" w:sz="4" w:space="0" w:color="auto"/>
              <w:right w:val="single" w:sz="4" w:space="0" w:color="auto"/>
            </w:tcBorders>
            <w:shd w:val="clear" w:color="auto" w:fill="auto"/>
            <w:noWrap/>
            <w:vAlign w:val="bottom"/>
            <w:hideMark/>
          </w:tcPr>
          <w:p w14:paraId="5883B640" w14:textId="77777777" w:rsidR="00C87588" w:rsidRPr="00C44EC6" w:rsidRDefault="00C87588" w:rsidP="00C87588">
            <w:pPr>
              <w:jc w:val="right"/>
              <w:rPr>
                <w:rFonts w:eastAsia="Times New Roman"/>
                <w:color w:val="000000"/>
                <w:sz w:val="18"/>
                <w:szCs w:val="18"/>
                <w:lang w:eastAsia="sl-SI"/>
              </w:rPr>
            </w:pPr>
            <w:r>
              <w:rPr>
                <w:rFonts w:eastAsia="Times New Roman"/>
                <w:color w:val="000000"/>
                <w:sz w:val="18"/>
                <w:szCs w:val="18"/>
                <w:lang w:eastAsia="sl-SI"/>
              </w:rPr>
              <w:t>+</w:t>
            </w:r>
            <w:r w:rsidRPr="005525BA">
              <w:rPr>
                <w:rFonts w:eastAsia="Times New Roman"/>
                <w:color w:val="000000"/>
                <w:sz w:val="18"/>
                <w:szCs w:val="18"/>
                <w:lang w:eastAsia="sl-SI"/>
              </w:rPr>
              <w:t>28.767.272</w:t>
            </w:r>
          </w:p>
        </w:tc>
      </w:tr>
      <w:tr w:rsidR="00C87588" w:rsidRPr="00C44EC6" w14:paraId="2A65DBDD" w14:textId="77777777" w:rsidTr="00C87588">
        <w:trPr>
          <w:trHeight w:val="300"/>
        </w:trPr>
        <w:tc>
          <w:tcPr>
            <w:tcW w:w="426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F26C71F" w14:textId="77777777" w:rsidR="00C87588" w:rsidRPr="00C44EC6" w:rsidRDefault="00C87588" w:rsidP="00C87588">
            <w:pPr>
              <w:spacing w:after="0" w:line="240" w:lineRule="auto"/>
              <w:rPr>
                <w:rFonts w:eastAsia="Times New Roman"/>
                <w:color w:val="000000"/>
                <w:sz w:val="18"/>
                <w:szCs w:val="18"/>
                <w:lang w:eastAsia="sl-SI"/>
              </w:rPr>
            </w:pPr>
            <w:r w:rsidRPr="00C44EC6">
              <w:rPr>
                <w:rFonts w:eastAsia="Times New Roman"/>
                <w:color w:val="000000"/>
                <w:sz w:val="18"/>
                <w:szCs w:val="18"/>
                <w:lang w:eastAsia="sl-SI"/>
              </w:rPr>
              <w:t>4.1 Spodbujanje energetske učinkovitosti</w:t>
            </w:r>
          </w:p>
        </w:tc>
        <w:tc>
          <w:tcPr>
            <w:tcW w:w="1300"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1DB1C17D" w14:textId="77777777" w:rsidR="00C87588" w:rsidRPr="00C44EC6" w:rsidRDefault="00C87588" w:rsidP="00C87588">
            <w:pPr>
              <w:spacing w:after="0" w:line="240" w:lineRule="auto"/>
              <w:jc w:val="right"/>
              <w:rPr>
                <w:rFonts w:eastAsia="Times New Roman"/>
                <w:color w:val="000000"/>
                <w:sz w:val="18"/>
                <w:szCs w:val="18"/>
                <w:lang w:eastAsia="sl-SI"/>
              </w:rPr>
            </w:pPr>
            <w:r w:rsidRPr="00C44EC6">
              <w:rPr>
                <w:rFonts w:eastAsia="Times New Roman"/>
                <w:color w:val="000000"/>
                <w:sz w:val="18"/>
                <w:szCs w:val="18"/>
                <w:lang w:eastAsia="sl-SI"/>
              </w:rPr>
              <w:t>-25.000.000</w:t>
            </w:r>
          </w:p>
        </w:tc>
        <w:tc>
          <w:tcPr>
            <w:tcW w:w="1685"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475887FD" w14:textId="77777777" w:rsidR="00C87588" w:rsidRPr="00C44EC6" w:rsidRDefault="00C87588" w:rsidP="00C87588">
            <w:pPr>
              <w:spacing w:after="0" w:line="240" w:lineRule="auto"/>
              <w:jc w:val="right"/>
              <w:rPr>
                <w:rFonts w:eastAsia="Times New Roman"/>
                <w:color w:val="000000"/>
                <w:sz w:val="18"/>
                <w:szCs w:val="18"/>
                <w:lang w:eastAsia="sl-SI"/>
              </w:rPr>
            </w:pPr>
            <w:r>
              <w:rPr>
                <w:rFonts w:eastAsia="Times New Roman"/>
                <w:color w:val="000000"/>
                <w:sz w:val="18"/>
                <w:szCs w:val="18"/>
                <w:lang w:eastAsia="sl-SI"/>
              </w:rPr>
              <w:t>+</w:t>
            </w:r>
            <w:r w:rsidRPr="00C44EC6">
              <w:rPr>
                <w:rFonts w:eastAsia="Times New Roman"/>
                <w:color w:val="000000"/>
                <w:sz w:val="18"/>
                <w:szCs w:val="18"/>
                <w:lang w:eastAsia="sl-SI"/>
              </w:rPr>
              <w:t>25.000.000</w:t>
            </w:r>
          </w:p>
        </w:tc>
      </w:tr>
      <w:tr w:rsidR="00C87588" w:rsidRPr="00C44EC6" w14:paraId="73949305" w14:textId="77777777" w:rsidTr="00C87588">
        <w:trPr>
          <w:trHeight w:val="300"/>
        </w:trPr>
        <w:tc>
          <w:tcPr>
            <w:tcW w:w="4260" w:type="dxa"/>
            <w:tcBorders>
              <w:top w:val="single" w:sz="4" w:space="0" w:color="auto"/>
              <w:left w:val="single" w:sz="4" w:space="0" w:color="auto"/>
              <w:bottom w:val="double" w:sz="4" w:space="0" w:color="auto"/>
              <w:right w:val="single" w:sz="4" w:space="0" w:color="auto"/>
            </w:tcBorders>
            <w:shd w:val="clear" w:color="000000" w:fill="D9D9D9"/>
            <w:vAlign w:val="center"/>
          </w:tcPr>
          <w:p w14:paraId="20B076CB" w14:textId="77777777" w:rsidR="00C87588" w:rsidRPr="00C44EC6" w:rsidRDefault="00C87588" w:rsidP="00C87588">
            <w:pPr>
              <w:spacing w:after="0" w:line="240" w:lineRule="auto"/>
              <w:rPr>
                <w:rFonts w:eastAsia="Times New Roman"/>
                <w:color w:val="000000"/>
                <w:sz w:val="18"/>
                <w:szCs w:val="18"/>
                <w:lang w:eastAsia="sl-SI"/>
              </w:rPr>
            </w:pPr>
            <w:r w:rsidRPr="008A6105">
              <w:rPr>
                <w:rFonts w:eastAsia="Times New Roman"/>
                <w:color w:val="000000"/>
                <w:sz w:val="18"/>
                <w:szCs w:val="18"/>
                <w:lang w:eastAsia="sl-SI"/>
              </w:rPr>
              <w:t>6.3 Ukrepi za izboljšanje urbanega okolja</w:t>
            </w:r>
          </w:p>
        </w:tc>
        <w:tc>
          <w:tcPr>
            <w:tcW w:w="1300" w:type="dxa"/>
            <w:tcBorders>
              <w:top w:val="single" w:sz="4" w:space="0" w:color="auto"/>
              <w:left w:val="nil"/>
              <w:bottom w:val="double" w:sz="4" w:space="0" w:color="auto"/>
              <w:right w:val="single" w:sz="4" w:space="0" w:color="auto"/>
            </w:tcBorders>
            <w:shd w:val="clear" w:color="auto" w:fill="D9D9D9" w:themeFill="background1" w:themeFillShade="D9"/>
            <w:noWrap/>
            <w:vAlign w:val="bottom"/>
          </w:tcPr>
          <w:p w14:paraId="2CCA047E" w14:textId="77777777" w:rsidR="00C87588" w:rsidRPr="00C44EC6" w:rsidRDefault="00C87588" w:rsidP="00C87588">
            <w:pPr>
              <w:spacing w:after="0" w:line="240" w:lineRule="auto"/>
              <w:jc w:val="right"/>
              <w:rPr>
                <w:rFonts w:eastAsia="Times New Roman"/>
                <w:color w:val="000000"/>
                <w:sz w:val="18"/>
                <w:szCs w:val="18"/>
                <w:lang w:eastAsia="sl-SI"/>
              </w:rPr>
            </w:pPr>
            <w:r>
              <w:rPr>
                <w:rFonts w:eastAsia="Times New Roman"/>
                <w:color w:val="000000"/>
                <w:sz w:val="18"/>
                <w:szCs w:val="18"/>
                <w:lang w:eastAsia="sl-SI"/>
              </w:rPr>
              <w:t>+5.000.000</w:t>
            </w:r>
          </w:p>
        </w:tc>
        <w:tc>
          <w:tcPr>
            <w:tcW w:w="1685" w:type="dxa"/>
            <w:tcBorders>
              <w:top w:val="single" w:sz="4" w:space="0" w:color="auto"/>
              <w:left w:val="nil"/>
              <w:bottom w:val="double" w:sz="4" w:space="0" w:color="auto"/>
              <w:right w:val="single" w:sz="4" w:space="0" w:color="auto"/>
            </w:tcBorders>
            <w:shd w:val="clear" w:color="auto" w:fill="D9D9D9" w:themeFill="background1" w:themeFillShade="D9"/>
            <w:noWrap/>
            <w:vAlign w:val="bottom"/>
          </w:tcPr>
          <w:p w14:paraId="5D1B18D5" w14:textId="77777777" w:rsidR="00C87588" w:rsidRDefault="00C87588" w:rsidP="00C87588">
            <w:pPr>
              <w:spacing w:after="0" w:line="240" w:lineRule="auto"/>
              <w:jc w:val="right"/>
              <w:rPr>
                <w:rFonts w:eastAsia="Times New Roman"/>
                <w:color w:val="000000"/>
                <w:sz w:val="18"/>
                <w:szCs w:val="18"/>
                <w:lang w:eastAsia="sl-SI"/>
              </w:rPr>
            </w:pPr>
            <w:r>
              <w:rPr>
                <w:rFonts w:eastAsia="Times New Roman"/>
                <w:color w:val="000000"/>
                <w:sz w:val="18"/>
                <w:szCs w:val="18"/>
                <w:lang w:eastAsia="sl-SI"/>
              </w:rPr>
              <w:t>-5.000.000</w:t>
            </w:r>
          </w:p>
        </w:tc>
      </w:tr>
      <w:tr w:rsidR="00C87588" w:rsidRPr="00C120BE" w14:paraId="350B4BB0" w14:textId="77777777" w:rsidTr="00C87588">
        <w:trPr>
          <w:trHeight w:val="300"/>
        </w:trPr>
        <w:tc>
          <w:tcPr>
            <w:tcW w:w="4260" w:type="dxa"/>
            <w:tcBorders>
              <w:top w:val="double" w:sz="4" w:space="0" w:color="auto"/>
              <w:left w:val="single" w:sz="4" w:space="0" w:color="auto"/>
              <w:bottom w:val="single" w:sz="4" w:space="0" w:color="auto"/>
              <w:right w:val="single" w:sz="4" w:space="0" w:color="auto"/>
            </w:tcBorders>
            <w:shd w:val="clear" w:color="auto" w:fill="auto"/>
            <w:vAlign w:val="center"/>
            <w:hideMark/>
          </w:tcPr>
          <w:p w14:paraId="25D91962" w14:textId="77777777" w:rsidR="00C87588" w:rsidRPr="00C120BE" w:rsidRDefault="00C87588" w:rsidP="00C87588">
            <w:pPr>
              <w:spacing w:after="0" w:line="240" w:lineRule="auto"/>
              <w:rPr>
                <w:rFonts w:eastAsia="Times New Roman"/>
                <w:b/>
                <w:color w:val="000000"/>
                <w:sz w:val="18"/>
                <w:szCs w:val="18"/>
                <w:lang w:eastAsia="sl-SI"/>
              </w:rPr>
            </w:pPr>
            <w:r w:rsidRPr="00C120BE">
              <w:rPr>
                <w:rFonts w:eastAsia="Times New Roman"/>
                <w:b/>
                <w:color w:val="000000"/>
                <w:sz w:val="18"/>
                <w:szCs w:val="18"/>
                <w:lang w:eastAsia="sl-SI"/>
              </w:rPr>
              <w:t>SKUPAJ</w:t>
            </w:r>
          </w:p>
        </w:tc>
        <w:tc>
          <w:tcPr>
            <w:tcW w:w="1300" w:type="dxa"/>
            <w:tcBorders>
              <w:top w:val="double" w:sz="4" w:space="0" w:color="auto"/>
              <w:left w:val="single" w:sz="4" w:space="0" w:color="auto"/>
              <w:bottom w:val="single" w:sz="4" w:space="0" w:color="auto"/>
              <w:right w:val="single" w:sz="4" w:space="0" w:color="auto"/>
            </w:tcBorders>
            <w:shd w:val="clear" w:color="auto" w:fill="auto"/>
            <w:noWrap/>
            <w:vAlign w:val="bottom"/>
            <w:hideMark/>
          </w:tcPr>
          <w:p w14:paraId="14AF941A" w14:textId="77777777" w:rsidR="00C87588" w:rsidRPr="00C120BE" w:rsidRDefault="00C87588" w:rsidP="00C87588">
            <w:pPr>
              <w:spacing w:after="0" w:line="240" w:lineRule="auto"/>
              <w:jc w:val="right"/>
              <w:rPr>
                <w:rFonts w:eastAsia="Times New Roman"/>
                <w:b/>
                <w:color w:val="000000"/>
                <w:sz w:val="18"/>
                <w:szCs w:val="18"/>
                <w:lang w:eastAsia="sl-SI"/>
              </w:rPr>
            </w:pPr>
            <w:r w:rsidRPr="00C120BE">
              <w:rPr>
                <w:rFonts w:eastAsia="Times New Roman"/>
                <w:b/>
                <w:color w:val="000000"/>
                <w:sz w:val="18"/>
                <w:szCs w:val="18"/>
                <w:lang w:eastAsia="sl-SI"/>
              </w:rPr>
              <w:t>-180.000.000</w:t>
            </w:r>
          </w:p>
        </w:tc>
        <w:tc>
          <w:tcPr>
            <w:tcW w:w="1685" w:type="dxa"/>
            <w:tcBorders>
              <w:top w:val="double" w:sz="4" w:space="0" w:color="auto"/>
              <w:left w:val="single" w:sz="4" w:space="0" w:color="auto"/>
              <w:bottom w:val="single" w:sz="4" w:space="0" w:color="auto"/>
              <w:right w:val="single" w:sz="4" w:space="0" w:color="auto"/>
            </w:tcBorders>
            <w:shd w:val="clear" w:color="auto" w:fill="auto"/>
            <w:noWrap/>
            <w:vAlign w:val="bottom"/>
            <w:hideMark/>
          </w:tcPr>
          <w:p w14:paraId="2ED17892" w14:textId="77777777" w:rsidR="00C87588" w:rsidRPr="00C120BE" w:rsidRDefault="00C87588" w:rsidP="00C87588">
            <w:pPr>
              <w:spacing w:after="0" w:line="240" w:lineRule="auto"/>
              <w:jc w:val="right"/>
              <w:rPr>
                <w:rFonts w:eastAsia="Times New Roman"/>
                <w:b/>
                <w:color w:val="000000"/>
                <w:sz w:val="18"/>
                <w:szCs w:val="18"/>
                <w:lang w:eastAsia="sl-SI"/>
              </w:rPr>
            </w:pPr>
            <w:r w:rsidRPr="00C120BE">
              <w:rPr>
                <w:rFonts w:eastAsia="Times New Roman"/>
                <w:b/>
                <w:color w:val="000000"/>
                <w:sz w:val="18"/>
                <w:szCs w:val="18"/>
                <w:lang w:eastAsia="sl-SI"/>
              </w:rPr>
              <w:t>+180.000.000</w:t>
            </w:r>
          </w:p>
        </w:tc>
      </w:tr>
    </w:tbl>
    <w:p w14:paraId="0D635FD4" w14:textId="77777777" w:rsidR="00C87588" w:rsidRDefault="00C87588" w:rsidP="00C87588">
      <w:pPr>
        <w:jc w:val="both"/>
        <w:rPr>
          <w:b/>
        </w:rPr>
      </w:pPr>
    </w:p>
    <w:p w14:paraId="38600708" w14:textId="77777777" w:rsidR="00C87588" w:rsidRDefault="00C87588" w:rsidP="00C87588">
      <w:pPr>
        <w:rPr>
          <w:rFonts w:ascii="Arial" w:hAnsi="Arial" w:cs="Arial"/>
          <w:b/>
          <w:sz w:val="20"/>
          <w:szCs w:val="20"/>
        </w:rPr>
      </w:pPr>
    </w:p>
    <w:p w14:paraId="56FA8E87" w14:textId="77777777" w:rsidR="00C87588" w:rsidRDefault="00C87588" w:rsidP="00C87588">
      <w:pPr>
        <w:rPr>
          <w:rFonts w:ascii="Arial" w:hAnsi="Arial" w:cs="Arial"/>
          <w:b/>
          <w:sz w:val="20"/>
          <w:szCs w:val="20"/>
        </w:rPr>
      </w:pPr>
      <w:r>
        <w:rPr>
          <w:rFonts w:ascii="Arial" w:hAnsi="Arial" w:cs="Arial"/>
          <w:b/>
          <w:sz w:val="20"/>
          <w:szCs w:val="20"/>
        </w:rPr>
        <w:br w:type="page"/>
      </w:r>
    </w:p>
    <w:p w14:paraId="653ABBF7" w14:textId="77777777" w:rsidR="00C87588" w:rsidRPr="001E13CB" w:rsidRDefault="00C87588" w:rsidP="00C87588">
      <w:pPr>
        <w:jc w:val="both"/>
        <w:rPr>
          <w:rFonts w:ascii="Arial" w:hAnsi="Arial" w:cs="Arial"/>
          <w:b/>
          <w:sz w:val="20"/>
          <w:szCs w:val="20"/>
        </w:rPr>
      </w:pPr>
      <w:r w:rsidRPr="001E13CB">
        <w:rPr>
          <w:rFonts w:ascii="Arial" w:hAnsi="Arial" w:cs="Arial"/>
          <w:b/>
          <w:sz w:val="20"/>
          <w:szCs w:val="20"/>
        </w:rPr>
        <w:lastRenderedPageBreak/>
        <w:t xml:space="preserve">UTEMELJITEV ZA UKREP DODATNIH PRAVIC PORABE (overcommitment) </w:t>
      </w:r>
    </w:p>
    <w:p w14:paraId="1949D44A" w14:textId="77777777" w:rsidR="00C87588" w:rsidRDefault="00C87588" w:rsidP="00C87588">
      <w:pPr>
        <w:jc w:val="both"/>
        <w:rPr>
          <w:rFonts w:ascii="Arial" w:hAnsi="Arial" w:cs="Arial"/>
          <w:sz w:val="20"/>
          <w:szCs w:val="20"/>
        </w:rPr>
      </w:pPr>
      <w:r w:rsidRPr="001E13CB">
        <w:rPr>
          <w:rFonts w:ascii="Arial" w:hAnsi="Arial" w:cs="Arial"/>
          <w:sz w:val="20"/>
          <w:szCs w:val="20"/>
        </w:rPr>
        <w:t xml:space="preserve">Zagotavljanje dodatnih pravic porabe nad pravicami porabe iz OP iz proračuna RS </w:t>
      </w:r>
      <w:r>
        <w:rPr>
          <w:rFonts w:ascii="Arial" w:hAnsi="Arial" w:cs="Arial"/>
          <w:sz w:val="20"/>
          <w:szCs w:val="20"/>
        </w:rPr>
        <w:t xml:space="preserve">je potrebno </w:t>
      </w:r>
      <w:r w:rsidRPr="001E13CB">
        <w:rPr>
          <w:rFonts w:ascii="Arial" w:hAnsi="Arial" w:cs="Arial"/>
          <w:sz w:val="20"/>
          <w:szCs w:val="20"/>
        </w:rPr>
        <w:t>na prednostnih naložbah, kjer je tveganje za 100 % črpanje EU sredstev višje</w:t>
      </w:r>
      <w:r>
        <w:rPr>
          <w:rFonts w:ascii="Arial" w:hAnsi="Arial" w:cs="Arial"/>
          <w:sz w:val="20"/>
          <w:szCs w:val="20"/>
        </w:rPr>
        <w:t>. To gre predvsem za naložbe, kjer se nalaga v javno infrastrukturo.</w:t>
      </w:r>
    </w:p>
    <w:p w14:paraId="4061E164" w14:textId="77777777" w:rsidR="00C87588" w:rsidRPr="001E13CB" w:rsidRDefault="00C87588" w:rsidP="00C87588">
      <w:pPr>
        <w:jc w:val="both"/>
        <w:rPr>
          <w:rFonts w:ascii="Arial" w:hAnsi="Arial" w:cs="Arial"/>
          <w:sz w:val="20"/>
          <w:szCs w:val="20"/>
        </w:rPr>
      </w:pPr>
      <w:r>
        <w:rPr>
          <w:rFonts w:ascii="Arial" w:hAnsi="Arial" w:cs="Arial"/>
          <w:sz w:val="20"/>
          <w:szCs w:val="20"/>
        </w:rPr>
        <w:t xml:space="preserve">Trenutno stanje izvajanja evropske kohezijske politike kaže na dejstvo, da bo končna absorpcija </w:t>
      </w:r>
      <w:r w:rsidRPr="001E13CB">
        <w:rPr>
          <w:rFonts w:ascii="Arial" w:hAnsi="Arial" w:cs="Arial"/>
          <w:sz w:val="20"/>
          <w:szCs w:val="20"/>
        </w:rPr>
        <w:t xml:space="preserve">EU sredstev </w:t>
      </w:r>
      <w:r>
        <w:rPr>
          <w:rFonts w:ascii="Arial" w:hAnsi="Arial" w:cs="Arial"/>
          <w:sz w:val="20"/>
          <w:szCs w:val="20"/>
        </w:rPr>
        <w:t>predvidoma</w:t>
      </w:r>
      <w:r w:rsidRPr="001E13CB">
        <w:rPr>
          <w:rFonts w:ascii="Arial" w:hAnsi="Arial" w:cs="Arial"/>
          <w:sz w:val="20"/>
          <w:szCs w:val="20"/>
        </w:rPr>
        <w:t xml:space="preserve"> nižj</w:t>
      </w:r>
      <w:r>
        <w:rPr>
          <w:rFonts w:ascii="Arial" w:hAnsi="Arial" w:cs="Arial"/>
          <w:sz w:val="20"/>
          <w:szCs w:val="20"/>
        </w:rPr>
        <w:t>a</w:t>
      </w:r>
      <w:r w:rsidRPr="001E13CB">
        <w:rPr>
          <w:rFonts w:ascii="Arial" w:hAnsi="Arial" w:cs="Arial"/>
          <w:sz w:val="20"/>
          <w:szCs w:val="20"/>
        </w:rPr>
        <w:t xml:space="preserve"> </w:t>
      </w:r>
      <w:r>
        <w:rPr>
          <w:rFonts w:ascii="Arial" w:hAnsi="Arial" w:cs="Arial"/>
          <w:sz w:val="20"/>
          <w:szCs w:val="20"/>
        </w:rPr>
        <w:t xml:space="preserve">predvsem na infrastrukturnih projektih </w:t>
      </w:r>
      <w:r w:rsidRPr="001E13CB">
        <w:rPr>
          <w:rFonts w:ascii="Arial" w:hAnsi="Arial" w:cs="Arial"/>
          <w:sz w:val="20"/>
          <w:szCs w:val="20"/>
        </w:rPr>
        <w:t xml:space="preserve">od dodeljenega </w:t>
      </w:r>
      <w:r>
        <w:rPr>
          <w:rFonts w:ascii="Arial" w:hAnsi="Arial" w:cs="Arial"/>
          <w:sz w:val="20"/>
          <w:szCs w:val="20"/>
        </w:rPr>
        <w:t xml:space="preserve">predvsem </w:t>
      </w:r>
      <w:r w:rsidRPr="001E13CB">
        <w:rPr>
          <w:rFonts w:ascii="Arial" w:hAnsi="Arial" w:cs="Arial"/>
          <w:sz w:val="20"/>
          <w:szCs w:val="20"/>
        </w:rPr>
        <w:t>zaradi:</w:t>
      </w:r>
    </w:p>
    <w:p w14:paraId="06109040" w14:textId="77777777" w:rsidR="00C87588" w:rsidRDefault="00C87588" w:rsidP="00C87588">
      <w:pPr>
        <w:numPr>
          <w:ilvl w:val="0"/>
          <w:numId w:val="41"/>
        </w:numPr>
        <w:jc w:val="both"/>
        <w:rPr>
          <w:rFonts w:ascii="Arial" w:hAnsi="Arial" w:cs="Arial"/>
          <w:sz w:val="20"/>
          <w:szCs w:val="20"/>
        </w:rPr>
      </w:pPr>
      <w:r w:rsidRPr="001E13CB">
        <w:rPr>
          <w:rFonts w:ascii="Arial" w:hAnsi="Arial" w:cs="Arial"/>
          <w:sz w:val="20"/>
          <w:szCs w:val="20"/>
        </w:rPr>
        <w:t>vrednosti del po postopkih javnega naročila bodo na podlagi izkušenj iz prejšnje finančne perspektiv</w:t>
      </w:r>
      <w:r>
        <w:rPr>
          <w:rFonts w:ascii="Arial" w:hAnsi="Arial" w:cs="Arial"/>
          <w:sz w:val="20"/>
          <w:szCs w:val="20"/>
        </w:rPr>
        <w:t>e predvidoma nižji od ocenjenih,</w:t>
      </w:r>
    </w:p>
    <w:p w14:paraId="447A8F56" w14:textId="77777777" w:rsidR="00C87588" w:rsidRDefault="00C87588" w:rsidP="00C87588">
      <w:pPr>
        <w:numPr>
          <w:ilvl w:val="0"/>
          <w:numId w:val="41"/>
        </w:numPr>
        <w:jc w:val="both"/>
        <w:rPr>
          <w:rFonts w:ascii="Arial" w:hAnsi="Arial" w:cs="Arial"/>
          <w:sz w:val="20"/>
          <w:szCs w:val="20"/>
        </w:rPr>
      </w:pPr>
      <w:r w:rsidRPr="001E13CB">
        <w:rPr>
          <w:rFonts w:ascii="Arial" w:hAnsi="Arial" w:cs="Arial"/>
          <w:sz w:val="20"/>
          <w:szCs w:val="20"/>
        </w:rPr>
        <w:t>glede na izkušnje je na infrastrukturnih projektih določen odstotek projektov, ki se iz različnih vzrokov ne izvedejo. Iz tega razloga je potrebno dodeliti več sredstev, da lahko koristi 100 % razpoložljivih EU sredstev.</w:t>
      </w:r>
    </w:p>
    <w:p w14:paraId="4ACD7BF7" w14:textId="77777777" w:rsidR="00540860" w:rsidRPr="001E13CB" w:rsidRDefault="00540860" w:rsidP="00540860">
      <w:pPr>
        <w:ind w:left="720"/>
        <w:jc w:val="both"/>
        <w:rPr>
          <w:rFonts w:ascii="Arial" w:hAnsi="Arial" w:cs="Arial"/>
          <w:sz w:val="20"/>
          <w:szCs w:val="20"/>
        </w:rPr>
      </w:pPr>
    </w:p>
    <w:p w14:paraId="2CD9B6E7" w14:textId="77777777" w:rsidR="00C87588" w:rsidRPr="001E13CB" w:rsidRDefault="00C87588" w:rsidP="00C87588">
      <w:pPr>
        <w:jc w:val="both"/>
        <w:rPr>
          <w:rFonts w:ascii="Arial" w:hAnsi="Arial" w:cs="Arial"/>
          <w:b/>
          <w:sz w:val="20"/>
          <w:szCs w:val="20"/>
        </w:rPr>
      </w:pPr>
      <w:r>
        <w:rPr>
          <w:rFonts w:ascii="Arial" w:hAnsi="Arial" w:cs="Arial"/>
          <w:b/>
          <w:sz w:val="20"/>
          <w:szCs w:val="20"/>
        </w:rPr>
        <w:t>PREDNOSTI</w:t>
      </w:r>
    </w:p>
    <w:p w14:paraId="374A7B88" w14:textId="77777777" w:rsidR="00C87588" w:rsidRPr="001E13CB" w:rsidRDefault="00C87588" w:rsidP="00C87588">
      <w:pPr>
        <w:numPr>
          <w:ilvl w:val="0"/>
          <w:numId w:val="41"/>
        </w:numPr>
        <w:jc w:val="both"/>
        <w:rPr>
          <w:rFonts w:ascii="Arial" w:hAnsi="Arial" w:cs="Arial"/>
          <w:sz w:val="20"/>
          <w:szCs w:val="20"/>
        </w:rPr>
      </w:pPr>
      <w:r w:rsidRPr="001E13CB">
        <w:rPr>
          <w:rFonts w:ascii="Arial" w:hAnsi="Arial" w:cs="Arial"/>
          <w:sz w:val="20"/>
          <w:szCs w:val="20"/>
        </w:rPr>
        <w:t>potrdili bomo več projektov več upravičencem in tako prišli tudi do hitrejšega črpanja EU sredstev</w:t>
      </w:r>
      <w:r>
        <w:rPr>
          <w:rFonts w:ascii="Arial" w:hAnsi="Arial" w:cs="Arial"/>
          <w:sz w:val="20"/>
          <w:szCs w:val="20"/>
        </w:rPr>
        <w:t xml:space="preserve"> </w:t>
      </w:r>
      <w:r w:rsidRPr="001E13CB">
        <w:rPr>
          <w:rFonts w:ascii="Arial" w:hAnsi="Arial" w:cs="Arial"/>
          <w:sz w:val="20"/>
          <w:szCs w:val="20"/>
        </w:rPr>
        <w:t xml:space="preserve">- pravilo </w:t>
      </w:r>
      <w:r>
        <w:rPr>
          <w:rFonts w:ascii="Arial" w:hAnsi="Arial" w:cs="Arial"/>
          <w:sz w:val="20"/>
          <w:szCs w:val="20"/>
        </w:rPr>
        <w:t>n+3,</w:t>
      </w:r>
    </w:p>
    <w:p w14:paraId="3F71F26A" w14:textId="77777777" w:rsidR="00C87588" w:rsidRPr="001E13CB" w:rsidRDefault="00C87588" w:rsidP="00C87588">
      <w:pPr>
        <w:numPr>
          <w:ilvl w:val="0"/>
          <w:numId w:val="41"/>
        </w:numPr>
        <w:jc w:val="both"/>
        <w:rPr>
          <w:rFonts w:ascii="Arial" w:hAnsi="Arial" w:cs="Arial"/>
          <w:sz w:val="20"/>
          <w:szCs w:val="20"/>
        </w:rPr>
      </w:pPr>
      <w:r w:rsidRPr="001E13CB">
        <w:rPr>
          <w:rFonts w:ascii="Arial" w:hAnsi="Arial" w:cs="Arial"/>
          <w:sz w:val="20"/>
          <w:szCs w:val="20"/>
        </w:rPr>
        <w:t>razen za pripadajočo Slo udeležbo</w:t>
      </w:r>
      <w:r>
        <w:rPr>
          <w:rFonts w:ascii="Arial" w:hAnsi="Arial" w:cs="Arial"/>
          <w:sz w:val="20"/>
          <w:szCs w:val="20"/>
        </w:rPr>
        <w:t xml:space="preserve"> se P</w:t>
      </w:r>
      <w:r w:rsidRPr="001E13CB">
        <w:rPr>
          <w:rFonts w:ascii="Arial" w:hAnsi="Arial" w:cs="Arial"/>
          <w:sz w:val="20"/>
          <w:szCs w:val="20"/>
        </w:rPr>
        <w:t xml:space="preserve">roračun </w:t>
      </w:r>
      <w:r>
        <w:rPr>
          <w:rFonts w:ascii="Arial" w:hAnsi="Arial" w:cs="Arial"/>
          <w:sz w:val="20"/>
          <w:szCs w:val="20"/>
        </w:rPr>
        <w:t xml:space="preserve">RS </w:t>
      </w:r>
      <w:r w:rsidRPr="001E13CB">
        <w:rPr>
          <w:rFonts w:ascii="Arial" w:hAnsi="Arial" w:cs="Arial"/>
          <w:sz w:val="20"/>
          <w:szCs w:val="20"/>
        </w:rPr>
        <w:t>potencialno obremeni šele po letu 2022, ko zmanjka evropskih pravic porabe n</w:t>
      </w:r>
      <w:r>
        <w:rPr>
          <w:rFonts w:ascii="Arial" w:hAnsi="Arial" w:cs="Arial"/>
          <w:sz w:val="20"/>
          <w:szCs w:val="20"/>
        </w:rPr>
        <w:t>a posamezni PN.</w:t>
      </w:r>
    </w:p>
    <w:p w14:paraId="116D9677" w14:textId="77777777" w:rsidR="00C87588" w:rsidRDefault="00C87588" w:rsidP="00C87588">
      <w:pPr>
        <w:ind w:left="720"/>
        <w:jc w:val="both"/>
        <w:rPr>
          <w:rFonts w:ascii="Arial" w:hAnsi="Arial" w:cs="Arial"/>
          <w:b/>
          <w:sz w:val="20"/>
          <w:szCs w:val="20"/>
        </w:rPr>
      </w:pPr>
    </w:p>
    <w:p w14:paraId="3432116C" w14:textId="77777777" w:rsidR="00C87588" w:rsidRPr="001E13CB" w:rsidRDefault="00C87588" w:rsidP="00C87588">
      <w:pPr>
        <w:jc w:val="both"/>
        <w:rPr>
          <w:rFonts w:ascii="Arial" w:hAnsi="Arial" w:cs="Arial"/>
          <w:b/>
          <w:sz w:val="20"/>
          <w:szCs w:val="20"/>
        </w:rPr>
      </w:pPr>
      <w:r w:rsidRPr="001E13CB">
        <w:rPr>
          <w:rFonts w:ascii="Arial" w:hAnsi="Arial" w:cs="Arial"/>
          <w:b/>
          <w:sz w:val="20"/>
          <w:szCs w:val="20"/>
        </w:rPr>
        <w:t>IZVEDBA</w:t>
      </w:r>
    </w:p>
    <w:p w14:paraId="7FD32CEE" w14:textId="77777777" w:rsidR="00C87588" w:rsidRPr="001E13CB" w:rsidRDefault="00C87588" w:rsidP="00C87588">
      <w:pPr>
        <w:numPr>
          <w:ilvl w:val="0"/>
          <w:numId w:val="40"/>
        </w:numPr>
        <w:jc w:val="both"/>
        <w:rPr>
          <w:rFonts w:ascii="Arial" w:hAnsi="Arial" w:cs="Arial"/>
          <w:sz w:val="20"/>
          <w:szCs w:val="20"/>
        </w:rPr>
      </w:pPr>
      <w:r>
        <w:rPr>
          <w:rFonts w:ascii="Arial" w:hAnsi="Arial" w:cs="Arial"/>
          <w:sz w:val="20"/>
          <w:szCs w:val="20"/>
        </w:rPr>
        <w:t>Z dodatnimi pravicami porabe se bo zagotavljalo sredstva za projekte, ki bodo izhajali iz DRR (vključeni resorji MGRT, MOP, MZI).</w:t>
      </w:r>
    </w:p>
    <w:p w14:paraId="636F985A" w14:textId="77777777" w:rsidR="00C87588" w:rsidRPr="001E13CB" w:rsidRDefault="00C87588" w:rsidP="00C87588">
      <w:pPr>
        <w:numPr>
          <w:ilvl w:val="0"/>
          <w:numId w:val="40"/>
        </w:numPr>
        <w:jc w:val="both"/>
        <w:rPr>
          <w:rFonts w:ascii="Arial" w:hAnsi="Arial" w:cs="Arial"/>
          <w:sz w:val="20"/>
          <w:szCs w:val="20"/>
        </w:rPr>
      </w:pPr>
      <w:r w:rsidRPr="001E13CB">
        <w:rPr>
          <w:rFonts w:ascii="Arial" w:hAnsi="Arial" w:cs="Arial"/>
          <w:sz w:val="20"/>
          <w:szCs w:val="20"/>
        </w:rPr>
        <w:t>Dodatne</w:t>
      </w:r>
      <w:r w:rsidRPr="001E13CB" w:rsidDel="002007D2">
        <w:rPr>
          <w:rFonts w:ascii="Arial" w:hAnsi="Arial" w:cs="Arial"/>
          <w:sz w:val="20"/>
          <w:szCs w:val="20"/>
        </w:rPr>
        <w:t xml:space="preserve"> </w:t>
      </w:r>
      <w:r w:rsidRPr="001E13CB">
        <w:rPr>
          <w:rFonts w:ascii="Arial" w:hAnsi="Arial" w:cs="Arial"/>
          <w:sz w:val="20"/>
          <w:szCs w:val="20"/>
        </w:rPr>
        <w:t>potrjene operacije iz naslova dodatnih pravic porabe ne smejo predstavljati dodatnih finančnih obremenitev za državna proračuna za leti 2017 in 2018.</w:t>
      </w:r>
    </w:p>
    <w:p w14:paraId="4B349221" w14:textId="77777777" w:rsidR="00C87588" w:rsidRPr="001E13CB" w:rsidRDefault="00C87588" w:rsidP="00C87588">
      <w:pPr>
        <w:numPr>
          <w:ilvl w:val="0"/>
          <w:numId w:val="40"/>
        </w:numPr>
        <w:jc w:val="both"/>
        <w:rPr>
          <w:rFonts w:ascii="Arial" w:hAnsi="Arial" w:cs="Arial"/>
          <w:sz w:val="20"/>
          <w:szCs w:val="20"/>
        </w:rPr>
      </w:pPr>
      <w:r w:rsidRPr="001E13CB">
        <w:rPr>
          <w:rFonts w:ascii="Arial" w:hAnsi="Arial" w:cs="Arial"/>
          <w:sz w:val="20"/>
          <w:szCs w:val="20"/>
        </w:rPr>
        <w:t xml:space="preserve">Dodatne pravice porabe se vključijo v Izvedbeni načrt OP (INOP) v okviru limitov za leti 2017 in 2018 in nato glede na </w:t>
      </w:r>
      <w:r>
        <w:rPr>
          <w:rFonts w:ascii="Arial" w:hAnsi="Arial" w:cs="Arial"/>
          <w:sz w:val="20"/>
          <w:szCs w:val="20"/>
        </w:rPr>
        <w:t xml:space="preserve">predvideno </w:t>
      </w:r>
      <w:r w:rsidRPr="001E13CB">
        <w:rPr>
          <w:rFonts w:ascii="Arial" w:hAnsi="Arial" w:cs="Arial"/>
          <w:sz w:val="20"/>
          <w:szCs w:val="20"/>
        </w:rPr>
        <w:t>dinamiko v letih 2019</w:t>
      </w:r>
      <w:r>
        <w:rPr>
          <w:rFonts w:ascii="Arial" w:hAnsi="Arial" w:cs="Arial"/>
          <w:sz w:val="20"/>
          <w:szCs w:val="20"/>
        </w:rPr>
        <w:t>–</w:t>
      </w:r>
      <w:r w:rsidRPr="001E13CB">
        <w:rPr>
          <w:rFonts w:ascii="Arial" w:hAnsi="Arial" w:cs="Arial"/>
          <w:sz w:val="20"/>
          <w:szCs w:val="20"/>
        </w:rPr>
        <w:t>2022.</w:t>
      </w:r>
    </w:p>
    <w:p w14:paraId="3AD6E93C" w14:textId="77777777" w:rsidR="00C87588" w:rsidRDefault="00C87588" w:rsidP="00C87588">
      <w:pPr>
        <w:numPr>
          <w:ilvl w:val="0"/>
          <w:numId w:val="40"/>
        </w:numPr>
        <w:jc w:val="both"/>
        <w:rPr>
          <w:rFonts w:ascii="Arial" w:hAnsi="Arial" w:cs="Arial"/>
          <w:sz w:val="20"/>
          <w:szCs w:val="20"/>
        </w:rPr>
      </w:pPr>
      <w:r w:rsidRPr="001E13CB">
        <w:rPr>
          <w:rFonts w:ascii="Arial" w:hAnsi="Arial" w:cs="Arial"/>
          <w:sz w:val="20"/>
          <w:szCs w:val="20"/>
        </w:rPr>
        <w:t>Načrtovanje in izvrševanje proračuna RS za projekte iz naslova dodatnih pravi</w:t>
      </w:r>
      <w:r>
        <w:rPr>
          <w:rFonts w:ascii="Arial" w:hAnsi="Arial" w:cs="Arial"/>
          <w:sz w:val="20"/>
          <w:szCs w:val="20"/>
        </w:rPr>
        <w:t>c</w:t>
      </w:r>
      <w:r w:rsidRPr="001E13CB">
        <w:rPr>
          <w:rFonts w:ascii="Arial" w:hAnsi="Arial" w:cs="Arial"/>
          <w:sz w:val="20"/>
          <w:szCs w:val="20"/>
        </w:rPr>
        <w:t xml:space="preserve"> porabe se vrši iz postavk, kot so predvidena za izvedbo projektov evropske kohezijske politike.</w:t>
      </w:r>
    </w:p>
    <w:p w14:paraId="61BE7631" w14:textId="77777777" w:rsidR="00C87588" w:rsidRDefault="00C87588" w:rsidP="00C87588">
      <w:pPr>
        <w:pStyle w:val="Odstavekseznama"/>
        <w:numPr>
          <w:ilvl w:val="0"/>
          <w:numId w:val="40"/>
        </w:numPr>
        <w:spacing w:after="0" w:line="260" w:lineRule="exact"/>
        <w:jc w:val="both"/>
        <w:rPr>
          <w:rFonts w:ascii="Arial" w:hAnsi="Arial" w:cs="Arial"/>
          <w:sz w:val="20"/>
          <w:szCs w:val="20"/>
        </w:rPr>
      </w:pPr>
      <w:r w:rsidRPr="00987842">
        <w:rPr>
          <w:rFonts w:ascii="Arial" w:hAnsi="Arial" w:cs="Arial"/>
          <w:sz w:val="20"/>
          <w:szCs w:val="20"/>
        </w:rPr>
        <w:t>Operacije, ki bodo izbrane v okviru dodatnih pravic porabe, morajo prispevati k doseganju ciljev in kazalnikov na posamezni prednostni naložbi.</w:t>
      </w:r>
    </w:p>
    <w:p w14:paraId="62C91602" w14:textId="77777777" w:rsidR="00C87588" w:rsidRPr="005C5989" w:rsidRDefault="00C87588" w:rsidP="00C87588">
      <w:pPr>
        <w:spacing w:after="0" w:line="260" w:lineRule="exact"/>
        <w:jc w:val="both"/>
        <w:rPr>
          <w:rFonts w:ascii="Arial" w:eastAsia="Times New Roman" w:hAnsi="Arial"/>
          <w:i/>
          <w:sz w:val="20"/>
          <w:szCs w:val="24"/>
        </w:rPr>
      </w:pPr>
    </w:p>
    <w:p w14:paraId="534E054C" w14:textId="77777777" w:rsidR="000F0A0E" w:rsidRPr="005C5989" w:rsidRDefault="000F0A0E" w:rsidP="00BE0F6C">
      <w:pPr>
        <w:spacing w:after="0" w:line="260" w:lineRule="exact"/>
        <w:jc w:val="both"/>
        <w:rPr>
          <w:rFonts w:ascii="Arial" w:eastAsia="Times New Roman" w:hAnsi="Arial"/>
          <w:i/>
          <w:sz w:val="20"/>
          <w:szCs w:val="24"/>
        </w:rPr>
      </w:pPr>
    </w:p>
    <w:sectPr w:rsidR="000F0A0E" w:rsidRPr="005C5989" w:rsidSect="00BE0F6C">
      <w:pgSz w:w="11900" w:h="16840"/>
      <w:pgMar w:top="2041" w:right="1797" w:bottom="1440" w:left="1701"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37204C" w14:textId="77777777" w:rsidR="00E01FFF" w:rsidRDefault="00E01FFF" w:rsidP="00513180">
      <w:pPr>
        <w:spacing w:after="0" w:line="240" w:lineRule="auto"/>
      </w:pPr>
      <w:r>
        <w:separator/>
      </w:r>
    </w:p>
  </w:endnote>
  <w:endnote w:type="continuationSeparator" w:id="0">
    <w:p w14:paraId="289742DE" w14:textId="77777777" w:rsidR="00E01FFF" w:rsidRDefault="00E01FFF" w:rsidP="00513180">
      <w:pPr>
        <w:spacing w:after="0" w:line="240" w:lineRule="auto"/>
      </w:pPr>
      <w:r>
        <w:continuationSeparator/>
      </w:r>
    </w:p>
  </w:endnote>
  <w:endnote w:type="continuationNotice" w:id="1">
    <w:p w14:paraId="1AE86F8F" w14:textId="77777777" w:rsidR="00E01FFF" w:rsidRDefault="00E01F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D54B0B" w14:textId="77777777" w:rsidR="00E01FFF" w:rsidRDefault="00E01FFF">
    <w:pPr>
      <w:pStyle w:val="Noga"/>
      <w:jc w:val="right"/>
    </w:pPr>
  </w:p>
  <w:p w14:paraId="05AC91F5" w14:textId="77777777" w:rsidR="00E01FFF" w:rsidRDefault="00E01FFF">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ABB3AB" w14:textId="77777777" w:rsidR="00E01FFF" w:rsidRDefault="00E01FFF" w:rsidP="00513180">
      <w:pPr>
        <w:spacing w:after="0" w:line="240" w:lineRule="auto"/>
      </w:pPr>
      <w:r>
        <w:separator/>
      </w:r>
    </w:p>
  </w:footnote>
  <w:footnote w:type="continuationSeparator" w:id="0">
    <w:p w14:paraId="66B13639" w14:textId="77777777" w:rsidR="00E01FFF" w:rsidRDefault="00E01FFF" w:rsidP="00513180">
      <w:pPr>
        <w:spacing w:after="0" w:line="240" w:lineRule="auto"/>
      </w:pPr>
      <w:r>
        <w:continuationSeparator/>
      </w:r>
    </w:p>
  </w:footnote>
  <w:footnote w:type="continuationNotice" w:id="1">
    <w:p w14:paraId="61D9E2D6" w14:textId="77777777" w:rsidR="00E01FFF" w:rsidRDefault="00E01FFF">
      <w:pPr>
        <w:spacing w:after="0" w:line="240" w:lineRule="auto"/>
      </w:pPr>
    </w:p>
  </w:footnote>
  <w:footnote w:id="2">
    <w:p w14:paraId="575E2D42" w14:textId="77777777" w:rsidR="00E01FFF" w:rsidRDefault="00E01FFF" w:rsidP="00C87588">
      <w:pPr>
        <w:pStyle w:val="Sprotnaopomba-besedilo"/>
        <w:jc w:val="both"/>
      </w:pPr>
      <w:r>
        <w:rPr>
          <w:rStyle w:val="Sprotnaopomba-sklic"/>
        </w:rPr>
        <w:footnoteRef/>
      </w:r>
      <w:r>
        <w:t xml:space="preserve"> </w:t>
      </w:r>
      <w:r w:rsidRPr="00DC0540">
        <w:rPr>
          <w:rFonts w:ascii="Arial" w:hAnsi="Arial" w:cs="Arial"/>
          <w:sz w:val="18"/>
          <w:szCs w:val="18"/>
        </w:rPr>
        <w:t xml:space="preserve">V okviru veljavnega OP </w:t>
      </w:r>
      <w:r>
        <w:rPr>
          <w:rFonts w:ascii="Arial" w:hAnsi="Arial" w:cs="Arial"/>
          <w:sz w:val="18"/>
          <w:szCs w:val="18"/>
        </w:rPr>
        <w:t xml:space="preserve">je </w:t>
      </w:r>
      <w:r w:rsidRPr="00DC0540">
        <w:rPr>
          <w:rFonts w:ascii="Arial" w:hAnsi="Arial" w:cs="Arial"/>
          <w:sz w:val="18"/>
          <w:szCs w:val="18"/>
        </w:rPr>
        <w:t>v bolj</w:t>
      </w:r>
      <w:r>
        <w:rPr>
          <w:rFonts w:ascii="Arial" w:hAnsi="Arial" w:cs="Arial"/>
          <w:sz w:val="18"/>
          <w:szCs w:val="18"/>
        </w:rPr>
        <w:t xml:space="preserve"> razviti regiji (Zahod) tematska</w:t>
      </w:r>
      <w:r w:rsidRPr="00DC0540">
        <w:rPr>
          <w:rFonts w:ascii="Arial" w:hAnsi="Arial" w:cs="Arial"/>
          <w:sz w:val="18"/>
          <w:szCs w:val="18"/>
        </w:rPr>
        <w:t xml:space="preserve"> osredotočenost 80,9</w:t>
      </w:r>
      <w:r>
        <w:rPr>
          <w:rFonts w:ascii="Arial" w:hAnsi="Arial" w:cs="Arial"/>
          <w:sz w:val="18"/>
          <w:szCs w:val="18"/>
        </w:rPr>
        <w:t xml:space="preserve"> %</w:t>
      </w:r>
      <w:r w:rsidRPr="00DC0540">
        <w:rPr>
          <w:rFonts w:ascii="Arial" w:hAnsi="Arial" w:cs="Arial"/>
          <w:sz w:val="18"/>
          <w:szCs w:val="18"/>
        </w:rPr>
        <w:t xml:space="preserve">, medtem ko </w:t>
      </w:r>
      <w:r>
        <w:rPr>
          <w:rFonts w:ascii="Arial" w:hAnsi="Arial" w:cs="Arial"/>
          <w:sz w:val="18"/>
          <w:szCs w:val="18"/>
        </w:rPr>
        <w:t xml:space="preserve">je </w:t>
      </w:r>
      <w:r w:rsidRPr="00DC0540">
        <w:rPr>
          <w:rFonts w:ascii="Arial" w:hAnsi="Arial" w:cs="Arial"/>
          <w:sz w:val="18"/>
          <w:szCs w:val="18"/>
        </w:rPr>
        <w:t>v manj razviti regiji (Vzhod) temats</w:t>
      </w:r>
      <w:r>
        <w:rPr>
          <w:rFonts w:ascii="Arial" w:hAnsi="Arial" w:cs="Arial"/>
          <w:sz w:val="18"/>
          <w:szCs w:val="18"/>
        </w:rPr>
        <w:t>ka</w:t>
      </w:r>
      <w:r w:rsidRPr="00DC0540">
        <w:rPr>
          <w:rFonts w:ascii="Arial" w:hAnsi="Arial" w:cs="Arial"/>
          <w:sz w:val="18"/>
          <w:szCs w:val="18"/>
        </w:rPr>
        <w:t xml:space="preserve"> osredotočenost </w:t>
      </w:r>
      <w:r>
        <w:rPr>
          <w:rFonts w:ascii="Arial" w:hAnsi="Arial" w:cs="Arial"/>
          <w:sz w:val="18"/>
          <w:szCs w:val="18"/>
        </w:rPr>
        <w:t>75,5 %</w:t>
      </w:r>
      <w:r w:rsidRPr="00DC0540">
        <w:rPr>
          <w:rFonts w:ascii="Arial" w:hAnsi="Arial" w:cs="Arial"/>
          <w:sz w:val="18"/>
          <w:szCs w:val="18"/>
        </w:rPr>
        <w:t>.</w:t>
      </w:r>
    </w:p>
  </w:footnote>
  <w:footnote w:id="3">
    <w:p w14:paraId="52FB1158" w14:textId="15F81459" w:rsidR="00E01FFF" w:rsidRDefault="00E01FFF" w:rsidP="00C87588">
      <w:pPr>
        <w:pStyle w:val="Sprotnaopomba-besedilo"/>
        <w:jc w:val="both"/>
      </w:pPr>
      <w:r>
        <w:rPr>
          <w:rStyle w:val="Sprotnaopomba-sklic"/>
        </w:rPr>
        <w:footnoteRef/>
      </w:r>
      <w:r>
        <w:t xml:space="preserve"> </w:t>
      </w:r>
      <w:r w:rsidRPr="002B256B">
        <w:rPr>
          <w:rFonts w:ascii="Arial" w:hAnsi="Arial" w:cs="Arial"/>
          <w:sz w:val="16"/>
          <w:szCs w:val="16"/>
        </w:rPr>
        <w:t xml:space="preserve">V okviru te prednostne naložbe so na posameznih operacijah (iz kvote t.i. 11. projektov) na področju komunalne infrastrukture bila posamezna javna naročila izvedena že v letu 2013. Tako je v </w:t>
      </w:r>
      <w:r>
        <w:rPr>
          <w:rFonts w:ascii="Arial" w:hAnsi="Arial" w:cs="Arial"/>
          <w:sz w:val="16"/>
          <w:szCs w:val="16"/>
        </w:rPr>
        <w:t xml:space="preserve">okviru </w:t>
      </w:r>
      <w:r w:rsidRPr="002B256B">
        <w:rPr>
          <w:rFonts w:ascii="Arial" w:hAnsi="Arial" w:cs="Arial"/>
          <w:sz w:val="16"/>
          <w:szCs w:val="16"/>
        </w:rPr>
        <w:t>posameznih javnih naročilih še ved</w:t>
      </w:r>
      <w:r>
        <w:rPr>
          <w:rFonts w:ascii="Arial" w:hAnsi="Arial" w:cs="Arial"/>
          <w:sz w:val="16"/>
          <w:szCs w:val="16"/>
        </w:rPr>
        <w:t xml:space="preserve">no potrebno izvesti korekcijo v višini 5 % zaradi ugotovljenih neskladnosti slovenskega pravnega reda s pravnim redom Evropske unije (IZS). Poleg tega je </w:t>
      </w:r>
      <w:r w:rsidRPr="002B256B">
        <w:rPr>
          <w:rFonts w:ascii="Arial" w:hAnsi="Arial" w:cs="Arial"/>
          <w:sz w:val="16"/>
          <w:szCs w:val="16"/>
        </w:rPr>
        <w:t xml:space="preserve">potrebno uskladiti </w:t>
      </w:r>
      <w:r>
        <w:rPr>
          <w:rFonts w:ascii="Arial" w:hAnsi="Arial" w:cs="Arial"/>
          <w:sz w:val="16"/>
          <w:szCs w:val="16"/>
        </w:rPr>
        <w:t xml:space="preserve">tudi </w:t>
      </w:r>
      <w:r w:rsidRPr="002B256B">
        <w:rPr>
          <w:rFonts w:ascii="Arial" w:hAnsi="Arial" w:cs="Arial"/>
          <w:sz w:val="16"/>
          <w:szCs w:val="16"/>
        </w:rPr>
        <w:t xml:space="preserve">izračune zaradi </w:t>
      </w:r>
      <w:r>
        <w:rPr>
          <w:rFonts w:ascii="Arial" w:hAnsi="Arial" w:cs="Arial"/>
          <w:sz w:val="16"/>
          <w:szCs w:val="16"/>
        </w:rPr>
        <w:t>uporabljene drugačne</w:t>
      </w:r>
      <w:r w:rsidRPr="002B256B">
        <w:rPr>
          <w:rFonts w:ascii="Arial" w:hAnsi="Arial" w:cs="Arial"/>
          <w:sz w:val="16"/>
          <w:szCs w:val="16"/>
        </w:rPr>
        <w:t xml:space="preserve"> finančne diskontne stop</w:t>
      </w:r>
      <w:r>
        <w:rPr>
          <w:rFonts w:ascii="Arial" w:hAnsi="Arial" w:cs="Arial"/>
          <w:sz w:val="16"/>
          <w:szCs w:val="16"/>
        </w:rPr>
        <w:t>nje, kot jo je v letu</w:t>
      </w:r>
      <w:r w:rsidRPr="002B256B">
        <w:rPr>
          <w:rFonts w:ascii="Arial" w:hAnsi="Arial" w:cs="Arial"/>
          <w:sz w:val="16"/>
          <w:szCs w:val="16"/>
        </w:rPr>
        <w:t xml:space="preserve"> 2014 </w:t>
      </w:r>
      <w:r>
        <w:rPr>
          <w:rFonts w:ascii="Arial" w:hAnsi="Arial" w:cs="Arial"/>
          <w:sz w:val="16"/>
          <w:szCs w:val="16"/>
        </w:rPr>
        <w:t>Evropska komisija naknadno predpisala.</w:t>
      </w:r>
      <w:r w:rsidRPr="002B256B">
        <w:rPr>
          <w:rFonts w:ascii="Arial" w:hAnsi="Arial" w:cs="Arial"/>
          <w:sz w:val="16"/>
          <w:szCs w:val="16"/>
        </w:rPr>
        <w:t xml:space="preserve"> Z novim preračunom pri teh 9  projektih bo prišlo do nižanja prispevka iz </w:t>
      </w:r>
      <w:r>
        <w:rPr>
          <w:rFonts w:ascii="Arial" w:hAnsi="Arial" w:cs="Arial"/>
          <w:sz w:val="16"/>
          <w:szCs w:val="16"/>
        </w:rPr>
        <w:t>kohezijskih sredstev</w:t>
      </w:r>
      <w:r w:rsidRPr="002B256B">
        <w:rPr>
          <w:rFonts w:ascii="Arial" w:hAnsi="Arial" w:cs="Arial"/>
          <w:sz w:val="16"/>
          <w:szCs w:val="16"/>
        </w:rPr>
        <w:t xml:space="preserve"> </w:t>
      </w:r>
      <w:r>
        <w:rPr>
          <w:rFonts w:ascii="Arial" w:hAnsi="Arial" w:cs="Arial"/>
          <w:sz w:val="16"/>
          <w:szCs w:val="16"/>
        </w:rPr>
        <w:t xml:space="preserve">za te projekte </w:t>
      </w:r>
      <w:r w:rsidRPr="002B256B">
        <w:rPr>
          <w:rFonts w:ascii="Arial" w:hAnsi="Arial" w:cs="Arial"/>
          <w:sz w:val="16"/>
          <w:szCs w:val="16"/>
        </w:rPr>
        <w:t xml:space="preserve">(EU + SLO). </w:t>
      </w:r>
      <w:r>
        <w:rPr>
          <w:rFonts w:ascii="Arial" w:hAnsi="Arial" w:cs="Arial"/>
          <w:sz w:val="16"/>
          <w:szCs w:val="16"/>
        </w:rPr>
        <w:t xml:space="preserve">Ocena je, da bo v okviru teh sprememb potrebno zagotoviti skupno dodatnih 25 milijonov evrov. </w:t>
      </w:r>
      <w:r w:rsidRPr="002B256B">
        <w:rPr>
          <w:rFonts w:ascii="Arial" w:hAnsi="Arial" w:cs="Arial"/>
          <w:sz w:val="16"/>
          <w:szCs w:val="16"/>
        </w:rPr>
        <w:t>S tem se bodo sprostile pravice porabe na tej prednostni naložbi.</w:t>
      </w:r>
      <w:r>
        <w:rPr>
          <w:rFonts w:ascii="Arial" w:hAnsi="Arial" w:cs="Arial"/>
          <w:sz w:val="16"/>
          <w:szCs w:val="16"/>
        </w:rPr>
        <w:t xml:space="preserve"> Skupaj z dodatnimi pravicami porabe v višini 225 milijonov evrov (EU + SLO) in sprostitvami za radi zgoraj navedenih korekcij, bo dodatno zagotovljeno 250 milijonov evrov iz sredstev integralnega proračuna.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1094C"/>
    <w:multiLevelType w:val="hybridMultilevel"/>
    <w:tmpl w:val="A47E1B4E"/>
    <w:lvl w:ilvl="0" w:tplc="1BB4403C">
      <w:numFmt w:val="bullet"/>
      <w:lvlText w:val="-"/>
      <w:lvlJc w:val="left"/>
      <w:pPr>
        <w:ind w:left="360" w:hanging="360"/>
      </w:pPr>
      <w:rPr>
        <w:rFonts w:ascii="Calibri" w:eastAsia="Calibri"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
    <w:nsid w:val="06A761BB"/>
    <w:multiLevelType w:val="multilevel"/>
    <w:tmpl w:val="8BA00684"/>
    <w:lvl w:ilvl="0">
      <w:start w:val="1"/>
      <w:numFmt w:val="decimal"/>
      <w:lvlText w:val="%1."/>
      <w:lvlJc w:val="left"/>
      <w:pPr>
        <w:ind w:left="360" w:hanging="360"/>
      </w:pPr>
      <w:rPr>
        <w:rFonts w:hint="default"/>
        <w:b/>
        <w:i w:val="0"/>
        <w:sz w:val="2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nsid w:val="0A7314F3"/>
    <w:multiLevelType w:val="hybridMultilevel"/>
    <w:tmpl w:val="ABFA03C4"/>
    <w:lvl w:ilvl="0" w:tplc="0409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nsid w:val="0D68789B"/>
    <w:multiLevelType w:val="hybridMultilevel"/>
    <w:tmpl w:val="ACA83CD8"/>
    <w:lvl w:ilvl="0" w:tplc="B7DAC066">
      <w:start w:val="1"/>
      <w:numFmt w:val="bullet"/>
      <w:lvlText w:val="-"/>
      <w:lvlJc w:val="left"/>
      <w:pPr>
        <w:ind w:left="720" w:hanging="360"/>
      </w:pPr>
      <w:rPr>
        <w:rFonts w:ascii="Arial" w:eastAsia="SimSu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nsid w:val="17722879"/>
    <w:multiLevelType w:val="multilevel"/>
    <w:tmpl w:val="2D7A0CF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7E71B69"/>
    <w:multiLevelType w:val="hybridMultilevel"/>
    <w:tmpl w:val="8E68AD3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1AD76FA9"/>
    <w:multiLevelType w:val="hybridMultilevel"/>
    <w:tmpl w:val="F53200F0"/>
    <w:lvl w:ilvl="0" w:tplc="F828C260">
      <w:start w:val="2"/>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nsid w:val="1B233887"/>
    <w:multiLevelType w:val="hybridMultilevel"/>
    <w:tmpl w:val="D29C2272"/>
    <w:lvl w:ilvl="0" w:tplc="7DCC98E6">
      <w:start w:val="1"/>
      <w:numFmt w:val="decimal"/>
      <w:lvlText w:val="%1."/>
      <w:lvlJc w:val="left"/>
      <w:pPr>
        <w:ind w:left="720" w:hanging="360"/>
      </w:pPr>
      <w:rPr>
        <w:rFonts w:eastAsia="SimSun" w:hint="default"/>
        <w:color w:val="00000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nsid w:val="1C3C5682"/>
    <w:multiLevelType w:val="multilevel"/>
    <w:tmpl w:val="5882045C"/>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1CD145DF"/>
    <w:multiLevelType w:val="hybridMultilevel"/>
    <w:tmpl w:val="3C78456A"/>
    <w:lvl w:ilvl="0" w:tplc="F828C260">
      <w:start w:val="2"/>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nsid w:val="1E7701F0"/>
    <w:multiLevelType w:val="multilevel"/>
    <w:tmpl w:val="42D445C4"/>
    <w:lvl w:ilvl="0">
      <w:start w:val="1"/>
      <w:numFmt w:val="decimal"/>
      <w:lvlText w:val="%1."/>
      <w:lvlJc w:val="left"/>
      <w:pPr>
        <w:ind w:left="360" w:hanging="360"/>
      </w:pPr>
      <w:rPr>
        <w:rFonts w:ascii="Arial" w:hAnsi="Arial" w:hint="default"/>
        <w:b w:val="0"/>
        <w:i w:val="0"/>
        <w:sz w:val="2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nsid w:val="210E5D0F"/>
    <w:multiLevelType w:val="hybridMultilevel"/>
    <w:tmpl w:val="874CDA6A"/>
    <w:lvl w:ilvl="0" w:tplc="1C4CF444">
      <w:start w:val="1"/>
      <w:numFmt w:val="bullet"/>
      <w:lvlText w:val="-"/>
      <w:lvlJc w:val="left"/>
      <w:pPr>
        <w:ind w:left="720" w:hanging="360"/>
      </w:pPr>
      <w:rPr>
        <w:rFonts w:ascii="Arial Narrow" w:eastAsia="Times New Roman" w:hAnsi="Arial Narrow"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nsid w:val="218777BF"/>
    <w:multiLevelType w:val="hybridMultilevel"/>
    <w:tmpl w:val="639013E0"/>
    <w:lvl w:ilvl="0" w:tplc="F828C260">
      <w:start w:val="2"/>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nsid w:val="245E6CFA"/>
    <w:multiLevelType w:val="hybridMultilevel"/>
    <w:tmpl w:val="DF9882D4"/>
    <w:lvl w:ilvl="0" w:tplc="4D309A46">
      <w:numFmt w:val="bullet"/>
      <w:lvlText w:val="-"/>
      <w:lvlJc w:val="left"/>
      <w:pPr>
        <w:ind w:left="720" w:hanging="360"/>
      </w:pPr>
      <w:rPr>
        <w:rFonts w:ascii="Arial" w:eastAsia="SimSun" w:hAnsi="Arial" w:cs="Arial" w:hint="default"/>
        <w:color w:val="00000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nsid w:val="260E2E05"/>
    <w:multiLevelType w:val="hybridMultilevel"/>
    <w:tmpl w:val="36BADE52"/>
    <w:lvl w:ilvl="0" w:tplc="B65A1F68">
      <w:numFmt w:val="bullet"/>
      <w:lvlText w:val="-"/>
      <w:lvlJc w:val="left"/>
      <w:pPr>
        <w:ind w:left="360" w:hanging="360"/>
      </w:pPr>
      <w:rPr>
        <w:rFonts w:ascii="Times New Roman" w:eastAsia="Times New Roman" w:hAnsi="Times New Roman" w:cs="Times New Roman" w:hint="default"/>
        <w:b/>
      </w:rPr>
    </w:lvl>
    <w:lvl w:ilvl="1" w:tplc="04240017">
      <w:start w:val="1"/>
      <w:numFmt w:val="lowerLetter"/>
      <w:lvlText w:val="%2)"/>
      <w:lvlJc w:val="left"/>
      <w:pPr>
        <w:ind w:left="1080" w:hanging="360"/>
      </w:pPr>
      <w:rPr>
        <w:rFonts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nsid w:val="26AE29AD"/>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AC20D50"/>
    <w:multiLevelType w:val="hybridMultilevel"/>
    <w:tmpl w:val="DE10B902"/>
    <w:lvl w:ilvl="0" w:tplc="76AC1A70">
      <w:start w:val="49"/>
      <w:numFmt w:val="bullet"/>
      <w:lvlText w:val=""/>
      <w:lvlJc w:val="left"/>
      <w:pPr>
        <w:ind w:left="360" w:hanging="360"/>
      </w:pPr>
      <w:rPr>
        <w:rFonts w:ascii="Symbol" w:eastAsia="Times New Roman" w:hAnsi="Symbol"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nsid w:val="2D583466"/>
    <w:multiLevelType w:val="multilevel"/>
    <w:tmpl w:val="D9D8E4EC"/>
    <w:lvl w:ilvl="0">
      <w:start w:val="1"/>
      <w:numFmt w:val="bullet"/>
      <w:lvlText w:val=""/>
      <w:lvlJc w:val="left"/>
      <w:pPr>
        <w:ind w:left="720" w:hanging="360"/>
      </w:pPr>
      <w:rPr>
        <w:rFonts w:ascii="Symbol" w:hAnsi="Symbol" w:hint="default"/>
        <w:color w:val="000000"/>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30A8482C"/>
    <w:multiLevelType w:val="multilevel"/>
    <w:tmpl w:val="E8989A34"/>
    <w:lvl w:ilvl="0">
      <w:start w:val="7"/>
      <w:numFmt w:val="decimal"/>
      <w:lvlText w:val="%1."/>
      <w:lvlJc w:val="left"/>
      <w:pPr>
        <w:ind w:left="360" w:hanging="360"/>
      </w:pPr>
      <w:rPr>
        <w:rFonts w:hint="default"/>
        <w:b/>
        <w:i w:val="0"/>
        <w:sz w:val="2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nsid w:val="318C0F8F"/>
    <w:multiLevelType w:val="hybridMultilevel"/>
    <w:tmpl w:val="0E04319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nsid w:val="31E67E4C"/>
    <w:multiLevelType w:val="hybridMultilevel"/>
    <w:tmpl w:val="D29C2272"/>
    <w:lvl w:ilvl="0" w:tplc="7DCC98E6">
      <w:start w:val="1"/>
      <w:numFmt w:val="decimal"/>
      <w:lvlText w:val="%1."/>
      <w:lvlJc w:val="left"/>
      <w:pPr>
        <w:ind w:left="720" w:hanging="360"/>
      </w:pPr>
      <w:rPr>
        <w:rFonts w:eastAsia="SimSun" w:hint="default"/>
        <w:color w:val="00000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nsid w:val="321047D0"/>
    <w:multiLevelType w:val="hybridMultilevel"/>
    <w:tmpl w:val="6096B76C"/>
    <w:lvl w:ilvl="0" w:tplc="04240001">
      <w:start w:val="1"/>
      <w:numFmt w:val="bullet"/>
      <w:lvlText w:val=""/>
      <w:lvlJc w:val="left"/>
      <w:pPr>
        <w:ind w:left="-264" w:hanging="360"/>
      </w:pPr>
      <w:rPr>
        <w:rFonts w:ascii="Symbol" w:hAnsi="Symbol" w:hint="default"/>
      </w:rPr>
    </w:lvl>
    <w:lvl w:ilvl="1" w:tplc="04240003">
      <w:start w:val="1"/>
      <w:numFmt w:val="bullet"/>
      <w:lvlText w:val="o"/>
      <w:lvlJc w:val="left"/>
      <w:pPr>
        <w:ind w:left="456" w:hanging="360"/>
      </w:pPr>
      <w:rPr>
        <w:rFonts w:ascii="Courier New" w:hAnsi="Courier New" w:cs="Courier New" w:hint="default"/>
      </w:rPr>
    </w:lvl>
    <w:lvl w:ilvl="2" w:tplc="04240005" w:tentative="1">
      <w:start w:val="1"/>
      <w:numFmt w:val="bullet"/>
      <w:lvlText w:val=""/>
      <w:lvlJc w:val="left"/>
      <w:pPr>
        <w:ind w:left="1176" w:hanging="360"/>
      </w:pPr>
      <w:rPr>
        <w:rFonts w:ascii="Wingdings" w:hAnsi="Wingdings" w:hint="default"/>
      </w:rPr>
    </w:lvl>
    <w:lvl w:ilvl="3" w:tplc="04240001" w:tentative="1">
      <w:start w:val="1"/>
      <w:numFmt w:val="bullet"/>
      <w:lvlText w:val=""/>
      <w:lvlJc w:val="left"/>
      <w:pPr>
        <w:ind w:left="1896" w:hanging="360"/>
      </w:pPr>
      <w:rPr>
        <w:rFonts w:ascii="Symbol" w:hAnsi="Symbol" w:hint="default"/>
      </w:rPr>
    </w:lvl>
    <w:lvl w:ilvl="4" w:tplc="04240003" w:tentative="1">
      <w:start w:val="1"/>
      <w:numFmt w:val="bullet"/>
      <w:lvlText w:val="o"/>
      <w:lvlJc w:val="left"/>
      <w:pPr>
        <w:ind w:left="2616" w:hanging="360"/>
      </w:pPr>
      <w:rPr>
        <w:rFonts w:ascii="Courier New" w:hAnsi="Courier New" w:cs="Courier New" w:hint="default"/>
      </w:rPr>
    </w:lvl>
    <w:lvl w:ilvl="5" w:tplc="04240005" w:tentative="1">
      <w:start w:val="1"/>
      <w:numFmt w:val="bullet"/>
      <w:lvlText w:val=""/>
      <w:lvlJc w:val="left"/>
      <w:pPr>
        <w:ind w:left="3336" w:hanging="360"/>
      </w:pPr>
      <w:rPr>
        <w:rFonts w:ascii="Wingdings" w:hAnsi="Wingdings" w:hint="default"/>
      </w:rPr>
    </w:lvl>
    <w:lvl w:ilvl="6" w:tplc="04240001" w:tentative="1">
      <w:start w:val="1"/>
      <w:numFmt w:val="bullet"/>
      <w:lvlText w:val=""/>
      <w:lvlJc w:val="left"/>
      <w:pPr>
        <w:ind w:left="4056" w:hanging="360"/>
      </w:pPr>
      <w:rPr>
        <w:rFonts w:ascii="Symbol" w:hAnsi="Symbol" w:hint="default"/>
      </w:rPr>
    </w:lvl>
    <w:lvl w:ilvl="7" w:tplc="04240003" w:tentative="1">
      <w:start w:val="1"/>
      <w:numFmt w:val="bullet"/>
      <w:lvlText w:val="o"/>
      <w:lvlJc w:val="left"/>
      <w:pPr>
        <w:ind w:left="4776" w:hanging="360"/>
      </w:pPr>
      <w:rPr>
        <w:rFonts w:ascii="Courier New" w:hAnsi="Courier New" w:cs="Courier New" w:hint="default"/>
      </w:rPr>
    </w:lvl>
    <w:lvl w:ilvl="8" w:tplc="04240005" w:tentative="1">
      <w:start w:val="1"/>
      <w:numFmt w:val="bullet"/>
      <w:lvlText w:val=""/>
      <w:lvlJc w:val="left"/>
      <w:pPr>
        <w:ind w:left="5496" w:hanging="360"/>
      </w:pPr>
      <w:rPr>
        <w:rFonts w:ascii="Wingdings" w:hAnsi="Wingdings" w:hint="default"/>
      </w:rPr>
    </w:lvl>
  </w:abstractNum>
  <w:abstractNum w:abstractNumId="22">
    <w:nsid w:val="35E67A00"/>
    <w:multiLevelType w:val="hybridMultilevel"/>
    <w:tmpl w:val="36EEBC6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nsid w:val="3D4361A5"/>
    <w:multiLevelType w:val="hybridMultilevel"/>
    <w:tmpl w:val="D29C2272"/>
    <w:lvl w:ilvl="0" w:tplc="7DCC98E6">
      <w:start w:val="1"/>
      <w:numFmt w:val="decimal"/>
      <w:lvlText w:val="%1."/>
      <w:lvlJc w:val="left"/>
      <w:pPr>
        <w:ind w:left="720" w:hanging="360"/>
      </w:pPr>
      <w:rPr>
        <w:rFonts w:eastAsia="SimSun" w:hint="default"/>
        <w:color w:val="00000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nsid w:val="3F2B2230"/>
    <w:multiLevelType w:val="hybridMultilevel"/>
    <w:tmpl w:val="D29C2272"/>
    <w:lvl w:ilvl="0" w:tplc="7DCC98E6">
      <w:start w:val="1"/>
      <w:numFmt w:val="decimal"/>
      <w:lvlText w:val="%1."/>
      <w:lvlJc w:val="left"/>
      <w:pPr>
        <w:ind w:left="720" w:hanging="360"/>
      </w:pPr>
      <w:rPr>
        <w:rFonts w:eastAsia="SimSun" w:hint="default"/>
        <w:color w:val="00000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nsid w:val="40251911"/>
    <w:multiLevelType w:val="multilevel"/>
    <w:tmpl w:val="CD829C7C"/>
    <w:lvl w:ilvl="0">
      <w:start w:val="1"/>
      <w:numFmt w:val="bullet"/>
      <w:lvlText w:val="−"/>
      <w:lvlJc w:val="left"/>
      <w:pPr>
        <w:ind w:left="360" w:hanging="360"/>
      </w:pPr>
      <w:rPr>
        <w:rFonts w:ascii="Arial" w:hAnsi="Arial" w:hint="default"/>
        <w:b w:val="0"/>
        <w:i w:val="0"/>
        <w:sz w:val="2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6">
    <w:nsid w:val="422004EF"/>
    <w:multiLevelType w:val="hybridMultilevel"/>
    <w:tmpl w:val="02D4F1BE"/>
    <w:lvl w:ilvl="0" w:tplc="76AC1A70">
      <w:start w:val="49"/>
      <w:numFmt w:val="bullet"/>
      <w:lvlText w:val=""/>
      <w:lvlJc w:val="left"/>
      <w:pPr>
        <w:ind w:left="360" w:hanging="360"/>
      </w:pPr>
      <w:rPr>
        <w:rFonts w:ascii="Symbol" w:eastAsia="Times New Roman" w:hAnsi="Symbol"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7">
    <w:nsid w:val="4A1144A5"/>
    <w:multiLevelType w:val="multilevel"/>
    <w:tmpl w:val="E806C354"/>
    <w:lvl w:ilvl="0">
      <w:start w:val="1"/>
      <w:numFmt w:val="decimal"/>
      <w:lvlText w:val="%1."/>
      <w:lvlJc w:val="left"/>
      <w:pPr>
        <w:ind w:left="720" w:hanging="360"/>
      </w:pPr>
      <w:rPr>
        <w:rFonts w:eastAsia="SimSun" w:hint="default"/>
        <w:color w:val="000000"/>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4D0C7CD5"/>
    <w:multiLevelType w:val="hybridMultilevel"/>
    <w:tmpl w:val="74EC0BD4"/>
    <w:lvl w:ilvl="0" w:tplc="2118FDA8">
      <w:start w:val="1"/>
      <w:numFmt w:val="bullet"/>
      <w:lvlText w:val="−"/>
      <w:lvlJc w:val="left"/>
      <w:pPr>
        <w:ind w:left="360" w:hanging="360"/>
      </w:pPr>
      <w:rPr>
        <w:rFonts w:ascii="Arial"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nsid w:val="4D575178"/>
    <w:multiLevelType w:val="hybridMultilevel"/>
    <w:tmpl w:val="6F5CB5DA"/>
    <w:lvl w:ilvl="0" w:tplc="2118FDA8">
      <w:start w:val="1"/>
      <w:numFmt w:val="bullet"/>
      <w:lvlText w:val="−"/>
      <w:lvlJc w:val="left"/>
      <w:pPr>
        <w:ind w:left="720" w:hanging="360"/>
      </w:pPr>
      <w:rPr>
        <w:rFonts w:ascii="Arial" w:hAnsi="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nsid w:val="56164538"/>
    <w:multiLevelType w:val="hybridMultilevel"/>
    <w:tmpl w:val="62E215F8"/>
    <w:lvl w:ilvl="0" w:tplc="7158C1D2">
      <w:start w:val="1"/>
      <w:numFmt w:val="bullet"/>
      <w:lvlText w:val="−"/>
      <w:lvlJc w:val="left"/>
      <w:pPr>
        <w:ind w:left="360" w:hanging="360"/>
      </w:pPr>
      <w:rPr>
        <w:rFonts w:ascii="Arial" w:hAnsi="Arial" w:hint="default"/>
        <w:color w:val="000000"/>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AD02C5E"/>
    <w:multiLevelType w:val="hybridMultilevel"/>
    <w:tmpl w:val="A0902982"/>
    <w:lvl w:ilvl="0" w:tplc="2118FDA8">
      <w:start w:val="1"/>
      <w:numFmt w:val="bullet"/>
      <w:lvlText w:val="−"/>
      <w:lvlJc w:val="left"/>
      <w:pPr>
        <w:ind w:left="360" w:hanging="360"/>
      </w:pPr>
      <w:rPr>
        <w:rFonts w:ascii="Arial"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2">
    <w:nsid w:val="5B050C0A"/>
    <w:multiLevelType w:val="hybridMultilevel"/>
    <w:tmpl w:val="26D072E0"/>
    <w:lvl w:ilvl="0" w:tplc="76AC1A70">
      <w:start w:val="49"/>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nsid w:val="60C95738"/>
    <w:multiLevelType w:val="hybridMultilevel"/>
    <w:tmpl w:val="94F621C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nsid w:val="62BD42C9"/>
    <w:multiLevelType w:val="hybridMultilevel"/>
    <w:tmpl w:val="BE56718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nsid w:val="635E5F81"/>
    <w:multiLevelType w:val="hybridMultilevel"/>
    <w:tmpl w:val="6D5A8458"/>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6">
    <w:nsid w:val="67C300D9"/>
    <w:multiLevelType w:val="hybridMultilevel"/>
    <w:tmpl w:val="26D404DC"/>
    <w:lvl w:ilvl="0" w:tplc="76AC1A70">
      <w:start w:val="49"/>
      <w:numFmt w:val="bullet"/>
      <w:lvlText w:val=""/>
      <w:lvlJc w:val="left"/>
      <w:pPr>
        <w:ind w:left="720" w:hanging="360"/>
      </w:pPr>
      <w:rPr>
        <w:rFonts w:ascii="Symbol" w:eastAsia="Times New Roman" w:hAnsi="Symbol" w:cs="Times New Roman" w:hint="default"/>
      </w:rPr>
    </w:lvl>
    <w:lvl w:ilvl="1" w:tplc="E33AA7CE">
      <w:numFmt w:val="bullet"/>
      <w:lvlText w:val="-"/>
      <w:lvlJc w:val="left"/>
      <w:pPr>
        <w:ind w:left="1440" w:hanging="360"/>
      </w:pPr>
      <w:rPr>
        <w:rFonts w:ascii="Arial" w:eastAsia="Times New Roman" w:hAnsi="Arial" w:cs="Arial"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7">
    <w:nsid w:val="69DB485F"/>
    <w:multiLevelType w:val="multilevel"/>
    <w:tmpl w:val="BCC2F74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nsid w:val="6CBE0A6A"/>
    <w:multiLevelType w:val="hybridMultilevel"/>
    <w:tmpl w:val="D29C2272"/>
    <w:lvl w:ilvl="0" w:tplc="7DCC98E6">
      <w:start w:val="1"/>
      <w:numFmt w:val="decimal"/>
      <w:lvlText w:val="%1."/>
      <w:lvlJc w:val="left"/>
      <w:pPr>
        <w:ind w:left="720" w:hanging="360"/>
      </w:pPr>
      <w:rPr>
        <w:rFonts w:eastAsia="SimSun" w:hint="default"/>
        <w:color w:val="00000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nsid w:val="6D1A470B"/>
    <w:multiLevelType w:val="hybridMultilevel"/>
    <w:tmpl w:val="8A903D94"/>
    <w:lvl w:ilvl="0" w:tplc="7158C1D2">
      <w:start w:val="1"/>
      <w:numFmt w:val="bullet"/>
      <w:lvlText w:val="−"/>
      <w:lvlJc w:val="left"/>
      <w:pPr>
        <w:ind w:left="360" w:hanging="360"/>
      </w:pPr>
      <w:rPr>
        <w:rFonts w:ascii="Arial" w:hAnsi="Arial" w:hint="default"/>
        <w:color w:val="000000"/>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7565757C"/>
    <w:multiLevelType w:val="hybridMultilevel"/>
    <w:tmpl w:val="B030B838"/>
    <w:lvl w:ilvl="0" w:tplc="7DCC98E6">
      <w:start w:val="1"/>
      <w:numFmt w:val="decimal"/>
      <w:lvlText w:val="%1."/>
      <w:lvlJc w:val="left"/>
      <w:pPr>
        <w:ind w:left="360" w:hanging="360"/>
      </w:pPr>
      <w:rPr>
        <w:rFonts w:eastAsia="SimSun"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773C7EE2"/>
    <w:multiLevelType w:val="hybridMultilevel"/>
    <w:tmpl w:val="EDE04532"/>
    <w:lvl w:ilvl="0" w:tplc="1BB4403C">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nsid w:val="7AD75B03"/>
    <w:multiLevelType w:val="hybridMultilevel"/>
    <w:tmpl w:val="8898C95A"/>
    <w:lvl w:ilvl="0" w:tplc="2118FDA8">
      <w:start w:val="1"/>
      <w:numFmt w:val="bullet"/>
      <w:lvlText w:val="−"/>
      <w:lvlJc w:val="left"/>
      <w:pPr>
        <w:ind w:left="360" w:hanging="360"/>
      </w:pPr>
      <w:rPr>
        <w:rFonts w:ascii="Arial"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3">
    <w:nsid w:val="7BC0350C"/>
    <w:multiLevelType w:val="hybridMultilevel"/>
    <w:tmpl w:val="3196D74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nsid w:val="7BC34350"/>
    <w:multiLevelType w:val="hybridMultilevel"/>
    <w:tmpl w:val="BD9A5544"/>
    <w:lvl w:ilvl="0" w:tplc="7DCC98E6">
      <w:start w:val="1"/>
      <w:numFmt w:val="decimal"/>
      <w:lvlText w:val="%1."/>
      <w:lvlJc w:val="left"/>
      <w:pPr>
        <w:ind w:left="720" w:hanging="360"/>
      </w:pPr>
      <w:rPr>
        <w:rFonts w:eastAsia="SimSun" w:hint="default"/>
        <w:color w:val="00000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nsid w:val="7C5058B6"/>
    <w:multiLevelType w:val="hybridMultilevel"/>
    <w:tmpl w:val="1EBC53BA"/>
    <w:lvl w:ilvl="0" w:tplc="7158C1D2">
      <w:start w:val="1"/>
      <w:numFmt w:val="bullet"/>
      <w:lvlText w:val="−"/>
      <w:lvlJc w:val="left"/>
      <w:pPr>
        <w:ind w:left="360" w:hanging="360"/>
      </w:pPr>
      <w:rPr>
        <w:rFonts w:ascii="Arial" w:hAnsi="Arial" w:hint="default"/>
        <w:color w:val="000000"/>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7CCD1AB7"/>
    <w:multiLevelType w:val="hybridMultilevel"/>
    <w:tmpl w:val="D29C2272"/>
    <w:lvl w:ilvl="0" w:tplc="7DCC98E6">
      <w:start w:val="1"/>
      <w:numFmt w:val="decimal"/>
      <w:lvlText w:val="%1."/>
      <w:lvlJc w:val="left"/>
      <w:pPr>
        <w:ind w:left="720" w:hanging="360"/>
      </w:pPr>
      <w:rPr>
        <w:rFonts w:eastAsia="SimSun" w:hint="default"/>
        <w:color w:val="00000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nsid w:val="7ED9249E"/>
    <w:multiLevelType w:val="multilevel"/>
    <w:tmpl w:val="DC18312A"/>
    <w:lvl w:ilvl="0">
      <w:start w:val="1"/>
      <w:numFmt w:val="decimal"/>
      <w:lvlText w:val="%1."/>
      <w:lvlJc w:val="left"/>
      <w:pPr>
        <w:ind w:left="720" w:hanging="360"/>
      </w:pPr>
      <w:rPr>
        <w:rFonts w:eastAsia="SimSun" w:hint="default"/>
        <w:color w:val="000000"/>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nsid w:val="7F0C4F81"/>
    <w:multiLevelType w:val="hybridMultilevel"/>
    <w:tmpl w:val="A14EA87C"/>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nsid w:val="7F390DA8"/>
    <w:multiLevelType w:val="hybridMultilevel"/>
    <w:tmpl w:val="13A622EE"/>
    <w:lvl w:ilvl="0" w:tplc="76AC1A70">
      <w:start w:val="49"/>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8"/>
  </w:num>
  <w:num w:numId="2">
    <w:abstractNumId w:val="32"/>
  </w:num>
  <w:num w:numId="3">
    <w:abstractNumId w:val="36"/>
  </w:num>
  <w:num w:numId="4">
    <w:abstractNumId w:val="49"/>
  </w:num>
  <w:num w:numId="5">
    <w:abstractNumId w:val="3"/>
  </w:num>
  <w:num w:numId="6">
    <w:abstractNumId w:val="0"/>
  </w:num>
  <w:num w:numId="7">
    <w:abstractNumId w:val="39"/>
  </w:num>
  <w:num w:numId="8">
    <w:abstractNumId w:val="7"/>
  </w:num>
  <w:num w:numId="9">
    <w:abstractNumId w:val="10"/>
  </w:num>
  <w:num w:numId="10">
    <w:abstractNumId w:val="13"/>
  </w:num>
  <w:num w:numId="11">
    <w:abstractNumId w:val="27"/>
  </w:num>
  <w:num w:numId="12">
    <w:abstractNumId w:val="47"/>
  </w:num>
  <w:num w:numId="13">
    <w:abstractNumId w:val="35"/>
  </w:num>
  <w:num w:numId="14">
    <w:abstractNumId w:val="15"/>
  </w:num>
  <w:num w:numId="15">
    <w:abstractNumId w:val="26"/>
  </w:num>
  <w:num w:numId="16">
    <w:abstractNumId w:val="16"/>
  </w:num>
  <w:num w:numId="17">
    <w:abstractNumId w:val="4"/>
  </w:num>
  <w:num w:numId="18">
    <w:abstractNumId w:val="14"/>
  </w:num>
  <w:num w:numId="19">
    <w:abstractNumId w:val="30"/>
  </w:num>
  <w:num w:numId="20">
    <w:abstractNumId w:val="45"/>
  </w:num>
  <w:num w:numId="21">
    <w:abstractNumId w:val="37"/>
  </w:num>
  <w:num w:numId="22">
    <w:abstractNumId w:val="34"/>
  </w:num>
  <w:num w:numId="23">
    <w:abstractNumId w:val="21"/>
  </w:num>
  <w:num w:numId="24">
    <w:abstractNumId w:val="48"/>
  </w:num>
  <w:num w:numId="25">
    <w:abstractNumId w:val="43"/>
  </w:num>
  <w:num w:numId="26">
    <w:abstractNumId w:val="5"/>
  </w:num>
  <w:num w:numId="27">
    <w:abstractNumId w:val="41"/>
  </w:num>
  <w:num w:numId="28">
    <w:abstractNumId w:val="22"/>
  </w:num>
  <w:num w:numId="29">
    <w:abstractNumId w:val="44"/>
  </w:num>
  <w:num w:numId="30">
    <w:abstractNumId w:val="17"/>
  </w:num>
  <w:num w:numId="31">
    <w:abstractNumId w:val="40"/>
  </w:num>
  <w:num w:numId="32">
    <w:abstractNumId w:val="25"/>
  </w:num>
  <w:num w:numId="33">
    <w:abstractNumId w:val="1"/>
  </w:num>
  <w:num w:numId="34">
    <w:abstractNumId w:val="18"/>
  </w:num>
  <w:num w:numId="35">
    <w:abstractNumId w:val="28"/>
  </w:num>
  <w:num w:numId="36">
    <w:abstractNumId w:val="29"/>
  </w:num>
  <w:num w:numId="37">
    <w:abstractNumId w:val="42"/>
  </w:num>
  <w:num w:numId="38">
    <w:abstractNumId w:val="2"/>
  </w:num>
  <w:num w:numId="39">
    <w:abstractNumId w:val="31"/>
  </w:num>
  <w:num w:numId="40">
    <w:abstractNumId w:val="6"/>
  </w:num>
  <w:num w:numId="41">
    <w:abstractNumId w:val="12"/>
  </w:num>
  <w:num w:numId="42">
    <w:abstractNumId w:val="9"/>
  </w:num>
  <w:num w:numId="43">
    <w:abstractNumId w:val="19"/>
  </w:num>
  <w:num w:numId="44">
    <w:abstractNumId w:val="38"/>
  </w:num>
  <w:num w:numId="45">
    <w:abstractNumId w:val="11"/>
  </w:num>
  <w:num w:numId="46">
    <w:abstractNumId w:val="24"/>
  </w:num>
  <w:num w:numId="47">
    <w:abstractNumId w:val="20"/>
  </w:num>
  <w:num w:numId="48">
    <w:abstractNumId w:val="46"/>
  </w:num>
  <w:num w:numId="49">
    <w:abstractNumId w:val="33"/>
  </w:num>
  <w:num w:numId="50">
    <w:abstractNumId w:val="2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GrammaticalErrors/>
  <w:proofState w:spelling="clean" w:grammar="clean"/>
  <w:defaultTabStop w:val="708"/>
  <w:hyphenationZone w:val="425"/>
  <w:characterSpacingControl w:val="doNotCompress"/>
  <w:hdrShapeDefaults>
    <o:shapedefaults v:ext="edit" spidmax="9216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552"/>
    <w:rsid w:val="00000ED3"/>
    <w:rsid w:val="00001449"/>
    <w:rsid w:val="00004F21"/>
    <w:rsid w:val="000051D1"/>
    <w:rsid w:val="00006050"/>
    <w:rsid w:val="00010EF5"/>
    <w:rsid w:val="0001146C"/>
    <w:rsid w:val="000141E5"/>
    <w:rsid w:val="00015FDB"/>
    <w:rsid w:val="0002496D"/>
    <w:rsid w:val="000255B7"/>
    <w:rsid w:val="00026CC2"/>
    <w:rsid w:val="0002789E"/>
    <w:rsid w:val="00036776"/>
    <w:rsid w:val="0004286B"/>
    <w:rsid w:val="0004460E"/>
    <w:rsid w:val="00045216"/>
    <w:rsid w:val="0004736F"/>
    <w:rsid w:val="00047E5E"/>
    <w:rsid w:val="00051D8D"/>
    <w:rsid w:val="000537A8"/>
    <w:rsid w:val="000549CE"/>
    <w:rsid w:val="00054F3C"/>
    <w:rsid w:val="00056282"/>
    <w:rsid w:val="000565D5"/>
    <w:rsid w:val="000617A6"/>
    <w:rsid w:val="000717E6"/>
    <w:rsid w:val="00072005"/>
    <w:rsid w:val="00073029"/>
    <w:rsid w:val="000739CA"/>
    <w:rsid w:val="000749F2"/>
    <w:rsid w:val="00077E13"/>
    <w:rsid w:val="00077E6C"/>
    <w:rsid w:val="00083E61"/>
    <w:rsid w:val="000864CE"/>
    <w:rsid w:val="00091D80"/>
    <w:rsid w:val="0009349A"/>
    <w:rsid w:val="000937D8"/>
    <w:rsid w:val="00095B3F"/>
    <w:rsid w:val="00095BF9"/>
    <w:rsid w:val="000A0DDE"/>
    <w:rsid w:val="000A2550"/>
    <w:rsid w:val="000A5433"/>
    <w:rsid w:val="000B0997"/>
    <w:rsid w:val="000B1EE2"/>
    <w:rsid w:val="000B2F30"/>
    <w:rsid w:val="000B7058"/>
    <w:rsid w:val="000C093F"/>
    <w:rsid w:val="000C2D92"/>
    <w:rsid w:val="000C519A"/>
    <w:rsid w:val="000C6583"/>
    <w:rsid w:val="000C7242"/>
    <w:rsid w:val="000D0A41"/>
    <w:rsid w:val="000D432F"/>
    <w:rsid w:val="000D59B0"/>
    <w:rsid w:val="000D6E26"/>
    <w:rsid w:val="000D7749"/>
    <w:rsid w:val="000E2C92"/>
    <w:rsid w:val="000E3AED"/>
    <w:rsid w:val="000E4A8A"/>
    <w:rsid w:val="000E5DA7"/>
    <w:rsid w:val="000E79EE"/>
    <w:rsid w:val="000F0A0E"/>
    <w:rsid w:val="000F1BA8"/>
    <w:rsid w:val="000F4739"/>
    <w:rsid w:val="000F7469"/>
    <w:rsid w:val="00100497"/>
    <w:rsid w:val="00101285"/>
    <w:rsid w:val="0010368F"/>
    <w:rsid w:val="00105CA5"/>
    <w:rsid w:val="0010631E"/>
    <w:rsid w:val="00107FF5"/>
    <w:rsid w:val="00113EA2"/>
    <w:rsid w:val="00114775"/>
    <w:rsid w:val="001158C2"/>
    <w:rsid w:val="001207A1"/>
    <w:rsid w:val="00121628"/>
    <w:rsid w:val="00121C86"/>
    <w:rsid w:val="00122670"/>
    <w:rsid w:val="00123809"/>
    <w:rsid w:val="00124420"/>
    <w:rsid w:val="00126A71"/>
    <w:rsid w:val="00127754"/>
    <w:rsid w:val="0013079F"/>
    <w:rsid w:val="00130843"/>
    <w:rsid w:val="001320B8"/>
    <w:rsid w:val="00133754"/>
    <w:rsid w:val="001345F4"/>
    <w:rsid w:val="00135422"/>
    <w:rsid w:val="0014200C"/>
    <w:rsid w:val="001462A6"/>
    <w:rsid w:val="001520F8"/>
    <w:rsid w:val="00153FA8"/>
    <w:rsid w:val="0016149B"/>
    <w:rsid w:val="001628F7"/>
    <w:rsid w:val="00163104"/>
    <w:rsid w:val="00164633"/>
    <w:rsid w:val="001661D1"/>
    <w:rsid w:val="00173395"/>
    <w:rsid w:val="00176363"/>
    <w:rsid w:val="00176418"/>
    <w:rsid w:val="0017710C"/>
    <w:rsid w:val="00177CE3"/>
    <w:rsid w:val="00180A41"/>
    <w:rsid w:val="00181AFE"/>
    <w:rsid w:val="00184875"/>
    <w:rsid w:val="00185532"/>
    <w:rsid w:val="0018595C"/>
    <w:rsid w:val="00193E5B"/>
    <w:rsid w:val="00194D1A"/>
    <w:rsid w:val="00196BA4"/>
    <w:rsid w:val="00197155"/>
    <w:rsid w:val="001973EF"/>
    <w:rsid w:val="001A01A8"/>
    <w:rsid w:val="001A1954"/>
    <w:rsid w:val="001B0F6C"/>
    <w:rsid w:val="001B1E35"/>
    <w:rsid w:val="001B343E"/>
    <w:rsid w:val="001B7A97"/>
    <w:rsid w:val="001C10D0"/>
    <w:rsid w:val="001C278F"/>
    <w:rsid w:val="001C5499"/>
    <w:rsid w:val="001C5962"/>
    <w:rsid w:val="001D02F8"/>
    <w:rsid w:val="001D2C78"/>
    <w:rsid w:val="001D3CE2"/>
    <w:rsid w:val="001D3D88"/>
    <w:rsid w:val="001D7F37"/>
    <w:rsid w:val="001E0E92"/>
    <w:rsid w:val="001E13CB"/>
    <w:rsid w:val="001E1690"/>
    <w:rsid w:val="001E2747"/>
    <w:rsid w:val="001E329C"/>
    <w:rsid w:val="001E6007"/>
    <w:rsid w:val="001F0D35"/>
    <w:rsid w:val="001F1167"/>
    <w:rsid w:val="001F1D8E"/>
    <w:rsid w:val="001F3B5E"/>
    <w:rsid w:val="001F42C3"/>
    <w:rsid w:val="001F5D91"/>
    <w:rsid w:val="001F5EFB"/>
    <w:rsid w:val="001F676F"/>
    <w:rsid w:val="00203463"/>
    <w:rsid w:val="0020439E"/>
    <w:rsid w:val="0020787B"/>
    <w:rsid w:val="00211DF7"/>
    <w:rsid w:val="00213320"/>
    <w:rsid w:val="002148B4"/>
    <w:rsid w:val="0021511A"/>
    <w:rsid w:val="00217A3E"/>
    <w:rsid w:val="00220A94"/>
    <w:rsid w:val="002265E5"/>
    <w:rsid w:val="00230666"/>
    <w:rsid w:val="00232274"/>
    <w:rsid w:val="00233343"/>
    <w:rsid w:val="00234791"/>
    <w:rsid w:val="00234A71"/>
    <w:rsid w:val="00240459"/>
    <w:rsid w:val="00241592"/>
    <w:rsid w:val="0024310B"/>
    <w:rsid w:val="0025226A"/>
    <w:rsid w:val="0025365B"/>
    <w:rsid w:val="0025408E"/>
    <w:rsid w:val="00261167"/>
    <w:rsid w:val="00261B99"/>
    <w:rsid w:val="0026555A"/>
    <w:rsid w:val="002702C9"/>
    <w:rsid w:val="00276D44"/>
    <w:rsid w:val="002773DD"/>
    <w:rsid w:val="002821F2"/>
    <w:rsid w:val="00282479"/>
    <w:rsid w:val="00283E41"/>
    <w:rsid w:val="00290336"/>
    <w:rsid w:val="002921DD"/>
    <w:rsid w:val="00292F29"/>
    <w:rsid w:val="00294C69"/>
    <w:rsid w:val="00296754"/>
    <w:rsid w:val="0029731A"/>
    <w:rsid w:val="00297A93"/>
    <w:rsid w:val="002A1C3D"/>
    <w:rsid w:val="002A470C"/>
    <w:rsid w:val="002B0EBC"/>
    <w:rsid w:val="002B256B"/>
    <w:rsid w:val="002B2A02"/>
    <w:rsid w:val="002B2CE9"/>
    <w:rsid w:val="002B3312"/>
    <w:rsid w:val="002B5AAE"/>
    <w:rsid w:val="002B700C"/>
    <w:rsid w:val="002B7972"/>
    <w:rsid w:val="002C3264"/>
    <w:rsid w:val="002C65EB"/>
    <w:rsid w:val="002C6C0F"/>
    <w:rsid w:val="002C70AA"/>
    <w:rsid w:val="002D0280"/>
    <w:rsid w:val="002D279F"/>
    <w:rsid w:val="002D3601"/>
    <w:rsid w:val="002E1583"/>
    <w:rsid w:val="002E1ED9"/>
    <w:rsid w:val="002E3BEF"/>
    <w:rsid w:val="002E42EA"/>
    <w:rsid w:val="002E70BB"/>
    <w:rsid w:val="002F3BEF"/>
    <w:rsid w:val="002F4BF7"/>
    <w:rsid w:val="002F5644"/>
    <w:rsid w:val="003004F9"/>
    <w:rsid w:val="00300D73"/>
    <w:rsid w:val="00305759"/>
    <w:rsid w:val="003067DC"/>
    <w:rsid w:val="003067E0"/>
    <w:rsid w:val="003073FD"/>
    <w:rsid w:val="00311C61"/>
    <w:rsid w:val="00311D76"/>
    <w:rsid w:val="00311FBD"/>
    <w:rsid w:val="00312AAF"/>
    <w:rsid w:val="0031448C"/>
    <w:rsid w:val="0032081B"/>
    <w:rsid w:val="00322A61"/>
    <w:rsid w:val="00322D08"/>
    <w:rsid w:val="00324295"/>
    <w:rsid w:val="00324A5E"/>
    <w:rsid w:val="003257D4"/>
    <w:rsid w:val="00326D4D"/>
    <w:rsid w:val="00327C42"/>
    <w:rsid w:val="00333320"/>
    <w:rsid w:val="00334C89"/>
    <w:rsid w:val="0033600E"/>
    <w:rsid w:val="00336B7E"/>
    <w:rsid w:val="00336DEE"/>
    <w:rsid w:val="00337314"/>
    <w:rsid w:val="003377E2"/>
    <w:rsid w:val="00337BE3"/>
    <w:rsid w:val="00340008"/>
    <w:rsid w:val="003403E8"/>
    <w:rsid w:val="00343308"/>
    <w:rsid w:val="0034585B"/>
    <w:rsid w:val="00353FC6"/>
    <w:rsid w:val="00355DC0"/>
    <w:rsid w:val="00360A59"/>
    <w:rsid w:val="00361294"/>
    <w:rsid w:val="00361B3F"/>
    <w:rsid w:val="00363698"/>
    <w:rsid w:val="0036451F"/>
    <w:rsid w:val="003662EA"/>
    <w:rsid w:val="00373583"/>
    <w:rsid w:val="003744DB"/>
    <w:rsid w:val="00376EE1"/>
    <w:rsid w:val="00382A2D"/>
    <w:rsid w:val="00383A3C"/>
    <w:rsid w:val="00383B63"/>
    <w:rsid w:val="003876DE"/>
    <w:rsid w:val="00391118"/>
    <w:rsid w:val="00392536"/>
    <w:rsid w:val="00393D76"/>
    <w:rsid w:val="00396E72"/>
    <w:rsid w:val="003A1711"/>
    <w:rsid w:val="003A3800"/>
    <w:rsid w:val="003A4621"/>
    <w:rsid w:val="003B01F2"/>
    <w:rsid w:val="003B3565"/>
    <w:rsid w:val="003B5565"/>
    <w:rsid w:val="003C1B04"/>
    <w:rsid w:val="003C42A7"/>
    <w:rsid w:val="003C4727"/>
    <w:rsid w:val="003C4E9A"/>
    <w:rsid w:val="003C6AF1"/>
    <w:rsid w:val="003D03E5"/>
    <w:rsid w:val="003D0EAE"/>
    <w:rsid w:val="003D0F7D"/>
    <w:rsid w:val="003D1106"/>
    <w:rsid w:val="003D24DA"/>
    <w:rsid w:val="003D394D"/>
    <w:rsid w:val="003D3B44"/>
    <w:rsid w:val="003E0545"/>
    <w:rsid w:val="003E0B0F"/>
    <w:rsid w:val="003E2446"/>
    <w:rsid w:val="003E464B"/>
    <w:rsid w:val="003E48F7"/>
    <w:rsid w:val="003E4A5E"/>
    <w:rsid w:val="003E7C55"/>
    <w:rsid w:val="003F00B7"/>
    <w:rsid w:val="003F0DF7"/>
    <w:rsid w:val="003F1361"/>
    <w:rsid w:val="003F17F0"/>
    <w:rsid w:val="003F18B3"/>
    <w:rsid w:val="003F19A7"/>
    <w:rsid w:val="003F19FB"/>
    <w:rsid w:val="003F2BD7"/>
    <w:rsid w:val="003F3601"/>
    <w:rsid w:val="003F39F0"/>
    <w:rsid w:val="003F7CF3"/>
    <w:rsid w:val="00405706"/>
    <w:rsid w:val="00410189"/>
    <w:rsid w:val="00414B65"/>
    <w:rsid w:val="0042179C"/>
    <w:rsid w:val="00424AD6"/>
    <w:rsid w:val="0042584F"/>
    <w:rsid w:val="00432D4B"/>
    <w:rsid w:val="00441564"/>
    <w:rsid w:val="00441E86"/>
    <w:rsid w:val="004423C8"/>
    <w:rsid w:val="00443B3D"/>
    <w:rsid w:val="00451C56"/>
    <w:rsid w:val="004536AD"/>
    <w:rsid w:val="00455B2E"/>
    <w:rsid w:val="004610DA"/>
    <w:rsid w:val="004633FA"/>
    <w:rsid w:val="004660B3"/>
    <w:rsid w:val="00466F45"/>
    <w:rsid w:val="00467265"/>
    <w:rsid w:val="00470CDB"/>
    <w:rsid w:val="00471DD0"/>
    <w:rsid w:val="00473EEE"/>
    <w:rsid w:val="004744CF"/>
    <w:rsid w:val="00475CFA"/>
    <w:rsid w:val="0048088D"/>
    <w:rsid w:val="004812BE"/>
    <w:rsid w:val="00482B2B"/>
    <w:rsid w:val="00484A4C"/>
    <w:rsid w:val="004858E0"/>
    <w:rsid w:val="00487325"/>
    <w:rsid w:val="00490335"/>
    <w:rsid w:val="00491156"/>
    <w:rsid w:val="00492B61"/>
    <w:rsid w:val="004942AC"/>
    <w:rsid w:val="0049482B"/>
    <w:rsid w:val="00496FA4"/>
    <w:rsid w:val="004A07D7"/>
    <w:rsid w:val="004A08D3"/>
    <w:rsid w:val="004A30FC"/>
    <w:rsid w:val="004A5E8A"/>
    <w:rsid w:val="004B07E7"/>
    <w:rsid w:val="004B2CE8"/>
    <w:rsid w:val="004B2D6B"/>
    <w:rsid w:val="004B385B"/>
    <w:rsid w:val="004B7D3A"/>
    <w:rsid w:val="004C0299"/>
    <w:rsid w:val="004C1E63"/>
    <w:rsid w:val="004C2FD8"/>
    <w:rsid w:val="004C3CDE"/>
    <w:rsid w:val="004C4D17"/>
    <w:rsid w:val="004C573D"/>
    <w:rsid w:val="004C64B8"/>
    <w:rsid w:val="004D0631"/>
    <w:rsid w:val="004D342D"/>
    <w:rsid w:val="004D6A8C"/>
    <w:rsid w:val="004D71AD"/>
    <w:rsid w:val="004E07A4"/>
    <w:rsid w:val="004E1657"/>
    <w:rsid w:val="004E1825"/>
    <w:rsid w:val="004E2E3C"/>
    <w:rsid w:val="004E7BC0"/>
    <w:rsid w:val="004E7FA7"/>
    <w:rsid w:val="004F093A"/>
    <w:rsid w:val="004F10D4"/>
    <w:rsid w:val="004F1ACE"/>
    <w:rsid w:val="004F277F"/>
    <w:rsid w:val="004F37B3"/>
    <w:rsid w:val="004F4F11"/>
    <w:rsid w:val="004F5F45"/>
    <w:rsid w:val="004F6B76"/>
    <w:rsid w:val="0050092B"/>
    <w:rsid w:val="00501773"/>
    <w:rsid w:val="00501A10"/>
    <w:rsid w:val="00501E5A"/>
    <w:rsid w:val="00511E78"/>
    <w:rsid w:val="005122C0"/>
    <w:rsid w:val="00512552"/>
    <w:rsid w:val="00513180"/>
    <w:rsid w:val="00517BCE"/>
    <w:rsid w:val="005201FE"/>
    <w:rsid w:val="005220A3"/>
    <w:rsid w:val="005245A4"/>
    <w:rsid w:val="00527186"/>
    <w:rsid w:val="005321F9"/>
    <w:rsid w:val="00534219"/>
    <w:rsid w:val="00534870"/>
    <w:rsid w:val="005358BD"/>
    <w:rsid w:val="005377D9"/>
    <w:rsid w:val="00540860"/>
    <w:rsid w:val="005445CA"/>
    <w:rsid w:val="005452EC"/>
    <w:rsid w:val="005455A9"/>
    <w:rsid w:val="00551B4A"/>
    <w:rsid w:val="005525BA"/>
    <w:rsid w:val="00552EAB"/>
    <w:rsid w:val="0055319C"/>
    <w:rsid w:val="0055425D"/>
    <w:rsid w:val="00555143"/>
    <w:rsid w:val="00556066"/>
    <w:rsid w:val="00560564"/>
    <w:rsid w:val="00565727"/>
    <w:rsid w:val="005657A1"/>
    <w:rsid w:val="00570005"/>
    <w:rsid w:val="00574668"/>
    <w:rsid w:val="00584533"/>
    <w:rsid w:val="00584DBE"/>
    <w:rsid w:val="0058684D"/>
    <w:rsid w:val="00591559"/>
    <w:rsid w:val="005927EE"/>
    <w:rsid w:val="00594D9D"/>
    <w:rsid w:val="005962A1"/>
    <w:rsid w:val="00596D83"/>
    <w:rsid w:val="005978C8"/>
    <w:rsid w:val="005A1F4D"/>
    <w:rsid w:val="005A3DBC"/>
    <w:rsid w:val="005A4DB4"/>
    <w:rsid w:val="005A793F"/>
    <w:rsid w:val="005B29AA"/>
    <w:rsid w:val="005B4837"/>
    <w:rsid w:val="005C14D4"/>
    <w:rsid w:val="005C2202"/>
    <w:rsid w:val="005C4383"/>
    <w:rsid w:val="005C5989"/>
    <w:rsid w:val="005D0C50"/>
    <w:rsid w:val="005D1FCA"/>
    <w:rsid w:val="005D286D"/>
    <w:rsid w:val="005D4FFD"/>
    <w:rsid w:val="005D5515"/>
    <w:rsid w:val="005D7931"/>
    <w:rsid w:val="005E229E"/>
    <w:rsid w:val="005F0014"/>
    <w:rsid w:val="005F37EE"/>
    <w:rsid w:val="005F4555"/>
    <w:rsid w:val="005F48E7"/>
    <w:rsid w:val="005F5281"/>
    <w:rsid w:val="005F55D5"/>
    <w:rsid w:val="00600ED5"/>
    <w:rsid w:val="00601A58"/>
    <w:rsid w:val="006028B2"/>
    <w:rsid w:val="00611C90"/>
    <w:rsid w:val="00615EC5"/>
    <w:rsid w:val="00616A28"/>
    <w:rsid w:val="00616EC8"/>
    <w:rsid w:val="00620DAD"/>
    <w:rsid w:val="00622423"/>
    <w:rsid w:val="00622912"/>
    <w:rsid w:val="00627577"/>
    <w:rsid w:val="00630702"/>
    <w:rsid w:val="006309F6"/>
    <w:rsid w:val="00631E66"/>
    <w:rsid w:val="00631FAD"/>
    <w:rsid w:val="00632531"/>
    <w:rsid w:val="0063337F"/>
    <w:rsid w:val="0063490C"/>
    <w:rsid w:val="00637805"/>
    <w:rsid w:val="006417A3"/>
    <w:rsid w:val="00644570"/>
    <w:rsid w:val="006447A9"/>
    <w:rsid w:val="006456E0"/>
    <w:rsid w:val="00645C87"/>
    <w:rsid w:val="00647DDE"/>
    <w:rsid w:val="00651D6B"/>
    <w:rsid w:val="00651D91"/>
    <w:rsid w:val="00656C69"/>
    <w:rsid w:val="00657D73"/>
    <w:rsid w:val="00660A44"/>
    <w:rsid w:val="00661A35"/>
    <w:rsid w:val="00661FC5"/>
    <w:rsid w:val="0066257D"/>
    <w:rsid w:val="00663CA5"/>
    <w:rsid w:val="00667B55"/>
    <w:rsid w:val="006773DE"/>
    <w:rsid w:val="00677F86"/>
    <w:rsid w:val="006815D3"/>
    <w:rsid w:val="00682CE4"/>
    <w:rsid w:val="00684A34"/>
    <w:rsid w:val="00685596"/>
    <w:rsid w:val="00686BB1"/>
    <w:rsid w:val="006874E9"/>
    <w:rsid w:val="00687595"/>
    <w:rsid w:val="00687F3E"/>
    <w:rsid w:val="00694E4A"/>
    <w:rsid w:val="006960B4"/>
    <w:rsid w:val="0069721F"/>
    <w:rsid w:val="006A6A84"/>
    <w:rsid w:val="006B1DB6"/>
    <w:rsid w:val="006B3DC3"/>
    <w:rsid w:val="006B4DD3"/>
    <w:rsid w:val="006B6FC6"/>
    <w:rsid w:val="006C3AC6"/>
    <w:rsid w:val="006C57AF"/>
    <w:rsid w:val="006D5882"/>
    <w:rsid w:val="006D5898"/>
    <w:rsid w:val="006D78FA"/>
    <w:rsid w:val="006E146A"/>
    <w:rsid w:val="006E16EF"/>
    <w:rsid w:val="006E3957"/>
    <w:rsid w:val="006E3A30"/>
    <w:rsid w:val="006E58B4"/>
    <w:rsid w:val="006E6DCA"/>
    <w:rsid w:val="006F00EB"/>
    <w:rsid w:val="006F0529"/>
    <w:rsid w:val="006F3A63"/>
    <w:rsid w:val="006F790C"/>
    <w:rsid w:val="006F7A94"/>
    <w:rsid w:val="007001A2"/>
    <w:rsid w:val="00701637"/>
    <w:rsid w:val="0070315F"/>
    <w:rsid w:val="00704A5B"/>
    <w:rsid w:val="007052A9"/>
    <w:rsid w:val="00705643"/>
    <w:rsid w:val="00705F15"/>
    <w:rsid w:val="00706FE9"/>
    <w:rsid w:val="0071123E"/>
    <w:rsid w:val="00711326"/>
    <w:rsid w:val="00713F3D"/>
    <w:rsid w:val="00717877"/>
    <w:rsid w:val="00722B80"/>
    <w:rsid w:val="007232F7"/>
    <w:rsid w:val="00723787"/>
    <w:rsid w:val="0073089F"/>
    <w:rsid w:val="00731379"/>
    <w:rsid w:val="00731664"/>
    <w:rsid w:val="00735E68"/>
    <w:rsid w:val="00736C50"/>
    <w:rsid w:val="00737630"/>
    <w:rsid w:val="00737ACD"/>
    <w:rsid w:val="00742C92"/>
    <w:rsid w:val="00742EFC"/>
    <w:rsid w:val="007436FC"/>
    <w:rsid w:val="00744105"/>
    <w:rsid w:val="00746292"/>
    <w:rsid w:val="00746380"/>
    <w:rsid w:val="007471E0"/>
    <w:rsid w:val="0075691E"/>
    <w:rsid w:val="00756EFE"/>
    <w:rsid w:val="00761DB5"/>
    <w:rsid w:val="007628AC"/>
    <w:rsid w:val="00763B0E"/>
    <w:rsid w:val="00763C71"/>
    <w:rsid w:val="00766E72"/>
    <w:rsid w:val="007670B1"/>
    <w:rsid w:val="00770154"/>
    <w:rsid w:val="0077110D"/>
    <w:rsid w:val="007729B3"/>
    <w:rsid w:val="00773F8E"/>
    <w:rsid w:val="00774BA9"/>
    <w:rsid w:val="007804DF"/>
    <w:rsid w:val="00781B63"/>
    <w:rsid w:val="00784211"/>
    <w:rsid w:val="00784E6B"/>
    <w:rsid w:val="00785B37"/>
    <w:rsid w:val="007860E5"/>
    <w:rsid w:val="00786334"/>
    <w:rsid w:val="00786B2A"/>
    <w:rsid w:val="00787B5D"/>
    <w:rsid w:val="0079224E"/>
    <w:rsid w:val="00792808"/>
    <w:rsid w:val="007957D2"/>
    <w:rsid w:val="00795D76"/>
    <w:rsid w:val="00796128"/>
    <w:rsid w:val="0079779C"/>
    <w:rsid w:val="007A01DF"/>
    <w:rsid w:val="007A461F"/>
    <w:rsid w:val="007A5831"/>
    <w:rsid w:val="007A7C6A"/>
    <w:rsid w:val="007A7D06"/>
    <w:rsid w:val="007B04AA"/>
    <w:rsid w:val="007B2EF3"/>
    <w:rsid w:val="007B365A"/>
    <w:rsid w:val="007B49C2"/>
    <w:rsid w:val="007B6354"/>
    <w:rsid w:val="007B6DB7"/>
    <w:rsid w:val="007C176F"/>
    <w:rsid w:val="007C613D"/>
    <w:rsid w:val="007D1242"/>
    <w:rsid w:val="007D16FF"/>
    <w:rsid w:val="007D1A21"/>
    <w:rsid w:val="007D1C6D"/>
    <w:rsid w:val="007D368F"/>
    <w:rsid w:val="007D5DA7"/>
    <w:rsid w:val="007D71EC"/>
    <w:rsid w:val="007E39C6"/>
    <w:rsid w:val="007E3E04"/>
    <w:rsid w:val="007E4367"/>
    <w:rsid w:val="007E4FDE"/>
    <w:rsid w:val="007E697E"/>
    <w:rsid w:val="007E70DF"/>
    <w:rsid w:val="007F5B2F"/>
    <w:rsid w:val="007F65DB"/>
    <w:rsid w:val="007F753A"/>
    <w:rsid w:val="007F7DD2"/>
    <w:rsid w:val="008008F7"/>
    <w:rsid w:val="00801E5C"/>
    <w:rsid w:val="008024C5"/>
    <w:rsid w:val="00802A9F"/>
    <w:rsid w:val="00803BB1"/>
    <w:rsid w:val="008059E1"/>
    <w:rsid w:val="00807008"/>
    <w:rsid w:val="00810E4C"/>
    <w:rsid w:val="00812146"/>
    <w:rsid w:val="008137EA"/>
    <w:rsid w:val="0081452E"/>
    <w:rsid w:val="00817DB5"/>
    <w:rsid w:val="008261B6"/>
    <w:rsid w:val="008269C4"/>
    <w:rsid w:val="00826C73"/>
    <w:rsid w:val="008312E3"/>
    <w:rsid w:val="00832938"/>
    <w:rsid w:val="00840B33"/>
    <w:rsid w:val="00843E25"/>
    <w:rsid w:val="00844267"/>
    <w:rsid w:val="008448C3"/>
    <w:rsid w:val="008461A5"/>
    <w:rsid w:val="00852E94"/>
    <w:rsid w:val="00855C1F"/>
    <w:rsid w:val="0085618A"/>
    <w:rsid w:val="00857212"/>
    <w:rsid w:val="008624DA"/>
    <w:rsid w:val="00862A9E"/>
    <w:rsid w:val="00862CEA"/>
    <w:rsid w:val="0086472C"/>
    <w:rsid w:val="00864B71"/>
    <w:rsid w:val="00867093"/>
    <w:rsid w:val="008673C9"/>
    <w:rsid w:val="0086772E"/>
    <w:rsid w:val="00872235"/>
    <w:rsid w:val="00872BC9"/>
    <w:rsid w:val="008738BB"/>
    <w:rsid w:val="0087411C"/>
    <w:rsid w:val="00876910"/>
    <w:rsid w:val="00876DC0"/>
    <w:rsid w:val="00881DDE"/>
    <w:rsid w:val="008821DB"/>
    <w:rsid w:val="00882EFF"/>
    <w:rsid w:val="00882F54"/>
    <w:rsid w:val="00883F5F"/>
    <w:rsid w:val="0088723F"/>
    <w:rsid w:val="00887B36"/>
    <w:rsid w:val="008917F1"/>
    <w:rsid w:val="0089324F"/>
    <w:rsid w:val="008A1DDF"/>
    <w:rsid w:val="008A30E2"/>
    <w:rsid w:val="008A3196"/>
    <w:rsid w:val="008A3F1D"/>
    <w:rsid w:val="008A46A7"/>
    <w:rsid w:val="008A5B37"/>
    <w:rsid w:val="008A6105"/>
    <w:rsid w:val="008B1807"/>
    <w:rsid w:val="008B2FA6"/>
    <w:rsid w:val="008B3402"/>
    <w:rsid w:val="008B4379"/>
    <w:rsid w:val="008C390A"/>
    <w:rsid w:val="008D0895"/>
    <w:rsid w:val="008D0E46"/>
    <w:rsid w:val="008D1805"/>
    <w:rsid w:val="008D1D37"/>
    <w:rsid w:val="008D4246"/>
    <w:rsid w:val="008D509D"/>
    <w:rsid w:val="008D5EC8"/>
    <w:rsid w:val="008E449D"/>
    <w:rsid w:val="008E552F"/>
    <w:rsid w:val="008F2CB6"/>
    <w:rsid w:val="008F649D"/>
    <w:rsid w:val="008F6748"/>
    <w:rsid w:val="008F70D3"/>
    <w:rsid w:val="00903036"/>
    <w:rsid w:val="009033CD"/>
    <w:rsid w:val="0090588C"/>
    <w:rsid w:val="009059E0"/>
    <w:rsid w:val="00905AF5"/>
    <w:rsid w:val="009062E4"/>
    <w:rsid w:val="00906956"/>
    <w:rsid w:val="009117A9"/>
    <w:rsid w:val="00913553"/>
    <w:rsid w:val="00913703"/>
    <w:rsid w:val="00913E4B"/>
    <w:rsid w:val="009160BF"/>
    <w:rsid w:val="00916B6A"/>
    <w:rsid w:val="00921E58"/>
    <w:rsid w:val="00923D1E"/>
    <w:rsid w:val="00924493"/>
    <w:rsid w:val="00924A37"/>
    <w:rsid w:val="009319FC"/>
    <w:rsid w:val="00932B46"/>
    <w:rsid w:val="0093338E"/>
    <w:rsid w:val="0093358B"/>
    <w:rsid w:val="00934F4C"/>
    <w:rsid w:val="00936C35"/>
    <w:rsid w:val="009429F0"/>
    <w:rsid w:val="00946CC3"/>
    <w:rsid w:val="00950DAC"/>
    <w:rsid w:val="009512CC"/>
    <w:rsid w:val="00956C89"/>
    <w:rsid w:val="00956F24"/>
    <w:rsid w:val="009578C3"/>
    <w:rsid w:val="00960A8D"/>
    <w:rsid w:val="00963823"/>
    <w:rsid w:val="00965AC9"/>
    <w:rsid w:val="009714AC"/>
    <w:rsid w:val="009743E3"/>
    <w:rsid w:val="0097490D"/>
    <w:rsid w:val="00974920"/>
    <w:rsid w:val="009753B8"/>
    <w:rsid w:val="00975F38"/>
    <w:rsid w:val="009765FC"/>
    <w:rsid w:val="0097718E"/>
    <w:rsid w:val="0097720D"/>
    <w:rsid w:val="00981FCE"/>
    <w:rsid w:val="0098716D"/>
    <w:rsid w:val="00987842"/>
    <w:rsid w:val="00993923"/>
    <w:rsid w:val="00996C93"/>
    <w:rsid w:val="009970A4"/>
    <w:rsid w:val="009A1816"/>
    <w:rsid w:val="009A38AE"/>
    <w:rsid w:val="009A4901"/>
    <w:rsid w:val="009B0C2E"/>
    <w:rsid w:val="009B0F9C"/>
    <w:rsid w:val="009B1D0A"/>
    <w:rsid w:val="009B1E2A"/>
    <w:rsid w:val="009B2771"/>
    <w:rsid w:val="009B3CC6"/>
    <w:rsid w:val="009B46F9"/>
    <w:rsid w:val="009B74AD"/>
    <w:rsid w:val="009B7E26"/>
    <w:rsid w:val="009C00F9"/>
    <w:rsid w:val="009C084C"/>
    <w:rsid w:val="009C1835"/>
    <w:rsid w:val="009C4BD5"/>
    <w:rsid w:val="009C67F7"/>
    <w:rsid w:val="009C7BC7"/>
    <w:rsid w:val="009D2229"/>
    <w:rsid w:val="009D3ABA"/>
    <w:rsid w:val="009D593B"/>
    <w:rsid w:val="009D7CCA"/>
    <w:rsid w:val="009E0511"/>
    <w:rsid w:val="009E06C1"/>
    <w:rsid w:val="009E42FC"/>
    <w:rsid w:val="009E7896"/>
    <w:rsid w:val="009F104D"/>
    <w:rsid w:val="009F1E78"/>
    <w:rsid w:val="00A01253"/>
    <w:rsid w:val="00A031E3"/>
    <w:rsid w:val="00A03902"/>
    <w:rsid w:val="00A06BAF"/>
    <w:rsid w:val="00A06E9B"/>
    <w:rsid w:val="00A1080A"/>
    <w:rsid w:val="00A10905"/>
    <w:rsid w:val="00A144AF"/>
    <w:rsid w:val="00A15416"/>
    <w:rsid w:val="00A159D6"/>
    <w:rsid w:val="00A17264"/>
    <w:rsid w:val="00A203EF"/>
    <w:rsid w:val="00A21DE7"/>
    <w:rsid w:val="00A22683"/>
    <w:rsid w:val="00A31F41"/>
    <w:rsid w:val="00A32B51"/>
    <w:rsid w:val="00A35FC0"/>
    <w:rsid w:val="00A36D9E"/>
    <w:rsid w:val="00A37E11"/>
    <w:rsid w:val="00A43C86"/>
    <w:rsid w:val="00A4402A"/>
    <w:rsid w:val="00A453B9"/>
    <w:rsid w:val="00A5027F"/>
    <w:rsid w:val="00A50A50"/>
    <w:rsid w:val="00A5256C"/>
    <w:rsid w:val="00A525C0"/>
    <w:rsid w:val="00A53267"/>
    <w:rsid w:val="00A554A8"/>
    <w:rsid w:val="00A55EA0"/>
    <w:rsid w:val="00A564A3"/>
    <w:rsid w:val="00A57718"/>
    <w:rsid w:val="00A60F19"/>
    <w:rsid w:val="00A66539"/>
    <w:rsid w:val="00A67680"/>
    <w:rsid w:val="00A762D7"/>
    <w:rsid w:val="00A768D1"/>
    <w:rsid w:val="00A8134C"/>
    <w:rsid w:val="00A82E5B"/>
    <w:rsid w:val="00A857E5"/>
    <w:rsid w:val="00A9327F"/>
    <w:rsid w:val="00A94AE1"/>
    <w:rsid w:val="00A94E68"/>
    <w:rsid w:val="00A97A0C"/>
    <w:rsid w:val="00AA4B79"/>
    <w:rsid w:val="00AA5FE6"/>
    <w:rsid w:val="00AB01F1"/>
    <w:rsid w:val="00AB13C3"/>
    <w:rsid w:val="00AB498B"/>
    <w:rsid w:val="00AB5331"/>
    <w:rsid w:val="00AC053C"/>
    <w:rsid w:val="00AC3303"/>
    <w:rsid w:val="00AC3708"/>
    <w:rsid w:val="00AC56EA"/>
    <w:rsid w:val="00AC6455"/>
    <w:rsid w:val="00AC7EE9"/>
    <w:rsid w:val="00AD1B26"/>
    <w:rsid w:val="00AD278F"/>
    <w:rsid w:val="00AD41ED"/>
    <w:rsid w:val="00AD68C0"/>
    <w:rsid w:val="00AE1169"/>
    <w:rsid w:val="00AE4599"/>
    <w:rsid w:val="00AE6A92"/>
    <w:rsid w:val="00AE711F"/>
    <w:rsid w:val="00AE7214"/>
    <w:rsid w:val="00AF15DF"/>
    <w:rsid w:val="00AF2E5B"/>
    <w:rsid w:val="00AF35CE"/>
    <w:rsid w:val="00AF3C3F"/>
    <w:rsid w:val="00B022ED"/>
    <w:rsid w:val="00B0401B"/>
    <w:rsid w:val="00B06B6F"/>
    <w:rsid w:val="00B10E13"/>
    <w:rsid w:val="00B113E3"/>
    <w:rsid w:val="00B13136"/>
    <w:rsid w:val="00B13791"/>
    <w:rsid w:val="00B13DCC"/>
    <w:rsid w:val="00B13FC7"/>
    <w:rsid w:val="00B16714"/>
    <w:rsid w:val="00B16A84"/>
    <w:rsid w:val="00B17D48"/>
    <w:rsid w:val="00B22914"/>
    <w:rsid w:val="00B23A48"/>
    <w:rsid w:val="00B23F9A"/>
    <w:rsid w:val="00B257DD"/>
    <w:rsid w:val="00B258DA"/>
    <w:rsid w:val="00B32D0A"/>
    <w:rsid w:val="00B32FF9"/>
    <w:rsid w:val="00B336CB"/>
    <w:rsid w:val="00B37079"/>
    <w:rsid w:val="00B4265E"/>
    <w:rsid w:val="00B43BF8"/>
    <w:rsid w:val="00B46B94"/>
    <w:rsid w:val="00B477DD"/>
    <w:rsid w:val="00B51CED"/>
    <w:rsid w:val="00B57732"/>
    <w:rsid w:val="00B60C2F"/>
    <w:rsid w:val="00B64F80"/>
    <w:rsid w:val="00B7085D"/>
    <w:rsid w:val="00B7218E"/>
    <w:rsid w:val="00B761F9"/>
    <w:rsid w:val="00B77E53"/>
    <w:rsid w:val="00B83707"/>
    <w:rsid w:val="00B84223"/>
    <w:rsid w:val="00B907AC"/>
    <w:rsid w:val="00B911FE"/>
    <w:rsid w:val="00B932FB"/>
    <w:rsid w:val="00B96B73"/>
    <w:rsid w:val="00BA0FB0"/>
    <w:rsid w:val="00BA1072"/>
    <w:rsid w:val="00BA1AFD"/>
    <w:rsid w:val="00BA1E3A"/>
    <w:rsid w:val="00BA3AF3"/>
    <w:rsid w:val="00BA6E36"/>
    <w:rsid w:val="00BB14E4"/>
    <w:rsid w:val="00BB690E"/>
    <w:rsid w:val="00BC130A"/>
    <w:rsid w:val="00BC2DE9"/>
    <w:rsid w:val="00BC41FA"/>
    <w:rsid w:val="00BC6334"/>
    <w:rsid w:val="00BD21C9"/>
    <w:rsid w:val="00BD6817"/>
    <w:rsid w:val="00BD78A3"/>
    <w:rsid w:val="00BE0719"/>
    <w:rsid w:val="00BE0F6C"/>
    <w:rsid w:val="00BE78CD"/>
    <w:rsid w:val="00BE795F"/>
    <w:rsid w:val="00BF5111"/>
    <w:rsid w:val="00BF6799"/>
    <w:rsid w:val="00BF7776"/>
    <w:rsid w:val="00C01107"/>
    <w:rsid w:val="00C062C3"/>
    <w:rsid w:val="00C145CD"/>
    <w:rsid w:val="00C14F2A"/>
    <w:rsid w:val="00C16987"/>
    <w:rsid w:val="00C21952"/>
    <w:rsid w:val="00C219E3"/>
    <w:rsid w:val="00C2237A"/>
    <w:rsid w:val="00C23D37"/>
    <w:rsid w:val="00C24E07"/>
    <w:rsid w:val="00C30C09"/>
    <w:rsid w:val="00C322D7"/>
    <w:rsid w:val="00C32678"/>
    <w:rsid w:val="00C36FC5"/>
    <w:rsid w:val="00C37859"/>
    <w:rsid w:val="00C408CD"/>
    <w:rsid w:val="00C41A26"/>
    <w:rsid w:val="00C43003"/>
    <w:rsid w:val="00C43204"/>
    <w:rsid w:val="00C44EC6"/>
    <w:rsid w:val="00C45191"/>
    <w:rsid w:val="00C508FF"/>
    <w:rsid w:val="00C52F18"/>
    <w:rsid w:val="00C54499"/>
    <w:rsid w:val="00C55752"/>
    <w:rsid w:val="00C624C3"/>
    <w:rsid w:val="00C6250D"/>
    <w:rsid w:val="00C66DAF"/>
    <w:rsid w:val="00C730C3"/>
    <w:rsid w:val="00C74A00"/>
    <w:rsid w:val="00C764E4"/>
    <w:rsid w:val="00C77199"/>
    <w:rsid w:val="00C80B77"/>
    <w:rsid w:val="00C80D0A"/>
    <w:rsid w:val="00C80EDF"/>
    <w:rsid w:val="00C81DE6"/>
    <w:rsid w:val="00C868D0"/>
    <w:rsid w:val="00C86CC8"/>
    <w:rsid w:val="00C87588"/>
    <w:rsid w:val="00C879DB"/>
    <w:rsid w:val="00C90D48"/>
    <w:rsid w:val="00C93FAA"/>
    <w:rsid w:val="00C94073"/>
    <w:rsid w:val="00C9449B"/>
    <w:rsid w:val="00C95C63"/>
    <w:rsid w:val="00C97A5E"/>
    <w:rsid w:val="00CA29D6"/>
    <w:rsid w:val="00CA3074"/>
    <w:rsid w:val="00CA67E5"/>
    <w:rsid w:val="00CB3343"/>
    <w:rsid w:val="00CB44D7"/>
    <w:rsid w:val="00CC4D2B"/>
    <w:rsid w:val="00CC524D"/>
    <w:rsid w:val="00CC5832"/>
    <w:rsid w:val="00CC69EE"/>
    <w:rsid w:val="00CD0933"/>
    <w:rsid w:val="00CD0E0D"/>
    <w:rsid w:val="00CD2132"/>
    <w:rsid w:val="00CD3672"/>
    <w:rsid w:val="00CD4F6D"/>
    <w:rsid w:val="00CD6340"/>
    <w:rsid w:val="00CD6E99"/>
    <w:rsid w:val="00CD6EAB"/>
    <w:rsid w:val="00CD7E60"/>
    <w:rsid w:val="00CE742A"/>
    <w:rsid w:val="00CE7D77"/>
    <w:rsid w:val="00CF22E2"/>
    <w:rsid w:val="00CF6583"/>
    <w:rsid w:val="00CF711D"/>
    <w:rsid w:val="00D03082"/>
    <w:rsid w:val="00D0705A"/>
    <w:rsid w:val="00D07934"/>
    <w:rsid w:val="00D11CFF"/>
    <w:rsid w:val="00D130A5"/>
    <w:rsid w:val="00D15FF8"/>
    <w:rsid w:val="00D2274E"/>
    <w:rsid w:val="00D22B5F"/>
    <w:rsid w:val="00D24FEC"/>
    <w:rsid w:val="00D31D09"/>
    <w:rsid w:val="00D33C35"/>
    <w:rsid w:val="00D347A5"/>
    <w:rsid w:val="00D35DEF"/>
    <w:rsid w:val="00D365B0"/>
    <w:rsid w:val="00D41A85"/>
    <w:rsid w:val="00D41F7E"/>
    <w:rsid w:val="00D420F5"/>
    <w:rsid w:val="00D43561"/>
    <w:rsid w:val="00D43F06"/>
    <w:rsid w:val="00D44C01"/>
    <w:rsid w:val="00D45789"/>
    <w:rsid w:val="00D46E5A"/>
    <w:rsid w:val="00D477A6"/>
    <w:rsid w:val="00D47CD2"/>
    <w:rsid w:val="00D5144E"/>
    <w:rsid w:val="00D5276B"/>
    <w:rsid w:val="00D5519C"/>
    <w:rsid w:val="00D566C8"/>
    <w:rsid w:val="00D57E0D"/>
    <w:rsid w:val="00D647E9"/>
    <w:rsid w:val="00D6506F"/>
    <w:rsid w:val="00D6527F"/>
    <w:rsid w:val="00D66BBD"/>
    <w:rsid w:val="00D700DD"/>
    <w:rsid w:val="00D7230A"/>
    <w:rsid w:val="00D733E1"/>
    <w:rsid w:val="00D73D06"/>
    <w:rsid w:val="00D81956"/>
    <w:rsid w:val="00D9094A"/>
    <w:rsid w:val="00D913AA"/>
    <w:rsid w:val="00D9207B"/>
    <w:rsid w:val="00D95AB3"/>
    <w:rsid w:val="00DA179E"/>
    <w:rsid w:val="00DA2344"/>
    <w:rsid w:val="00DA2A97"/>
    <w:rsid w:val="00DA2C89"/>
    <w:rsid w:val="00DA4460"/>
    <w:rsid w:val="00DB0403"/>
    <w:rsid w:val="00DB2FEF"/>
    <w:rsid w:val="00DB48C4"/>
    <w:rsid w:val="00DB4B71"/>
    <w:rsid w:val="00DB63B5"/>
    <w:rsid w:val="00DB6B43"/>
    <w:rsid w:val="00DC019A"/>
    <w:rsid w:val="00DC0540"/>
    <w:rsid w:val="00DC12B3"/>
    <w:rsid w:val="00DC5294"/>
    <w:rsid w:val="00DC6CD4"/>
    <w:rsid w:val="00DC7402"/>
    <w:rsid w:val="00DC7E5E"/>
    <w:rsid w:val="00DD0C17"/>
    <w:rsid w:val="00DD363A"/>
    <w:rsid w:val="00DD46B7"/>
    <w:rsid w:val="00DD59FD"/>
    <w:rsid w:val="00DE1BCA"/>
    <w:rsid w:val="00DE2A52"/>
    <w:rsid w:val="00DF0410"/>
    <w:rsid w:val="00DF53C5"/>
    <w:rsid w:val="00DF6183"/>
    <w:rsid w:val="00E001D8"/>
    <w:rsid w:val="00E002D8"/>
    <w:rsid w:val="00E01FFF"/>
    <w:rsid w:val="00E027CF"/>
    <w:rsid w:val="00E031F8"/>
    <w:rsid w:val="00E04B4C"/>
    <w:rsid w:val="00E05B86"/>
    <w:rsid w:val="00E07417"/>
    <w:rsid w:val="00E07EBE"/>
    <w:rsid w:val="00E129EA"/>
    <w:rsid w:val="00E135A2"/>
    <w:rsid w:val="00E13A06"/>
    <w:rsid w:val="00E14816"/>
    <w:rsid w:val="00E15635"/>
    <w:rsid w:val="00E17F4D"/>
    <w:rsid w:val="00E2029D"/>
    <w:rsid w:val="00E208B8"/>
    <w:rsid w:val="00E20DA3"/>
    <w:rsid w:val="00E30447"/>
    <w:rsid w:val="00E345A4"/>
    <w:rsid w:val="00E4621A"/>
    <w:rsid w:val="00E473F6"/>
    <w:rsid w:val="00E52885"/>
    <w:rsid w:val="00E5341A"/>
    <w:rsid w:val="00E54515"/>
    <w:rsid w:val="00E54EE4"/>
    <w:rsid w:val="00E57B32"/>
    <w:rsid w:val="00E63C1E"/>
    <w:rsid w:val="00E65678"/>
    <w:rsid w:val="00E6567B"/>
    <w:rsid w:val="00E663F2"/>
    <w:rsid w:val="00E67BF7"/>
    <w:rsid w:val="00E704A9"/>
    <w:rsid w:val="00E74140"/>
    <w:rsid w:val="00E76944"/>
    <w:rsid w:val="00E76F86"/>
    <w:rsid w:val="00E7724E"/>
    <w:rsid w:val="00E77646"/>
    <w:rsid w:val="00E82912"/>
    <w:rsid w:val="00E863FA"/>
    <w:rsid w:val="00E877C8"/>
    <w:rsid w:val="00E90F34"/>
    <w:rsid w:val="00E91E69"/>
    <w:rsid w:val="00E95C73"/>
    <w:rsid w:val="00E95E73"/>
    <w:rsid w:val="00E96D87"/>
    <w:rsid w:val="00E9764A"/>
    <w:rsid w:val="00EA2D2B"/>
    <w:rsid w:val="00EB1D6B"/>
    <w:rsid w:val="00EB1FD3"/>
    <w:rsid w:val="00EB2607"/>
    <w:rsid w:val="00EB2920"/>
    <w:rsid w:val="00EB45E2"/>
    <w:rsid w:val="00EB7AD1"/>
    <w:rsid w:val="00EB7B0D"/>
    <w:rsid w:val="00EC1923"/>
    <w:rsid w:val="00EC23A1"/>
    <w:rsid w:val="00EC3886"/>
    <w:rsid w:val="00EC7286"/>
    <w:rsid w:val="00ED1013"/>
    <w:rsid w:val="00ED1D4C"/>
    <w:rsid w:val="00ED33B0"/>
    <w:rsid w:val="00ED651F"/>
    <w:rsid w:val="00EE0700"/>
    <w:rsid w:val="00EE0723"/>
    <w:rsid w:val="00EE1437"/>
    <w:rsid w:val="00EE5C01"/>
    <w:rsid w:val="00EF14BD"/>
    <w:rsid w:val="00EF3EC6"/>
    <w:rsid w:val="00EF53A4"/>
    <w:rsid w:val="00F00777"/>
    <w:rsid w:val="00F01396"/>
    <w:rsid w:val="00F02682"/>
    <w:rsid w:val="00F02BE5"/>
    <w:rsid w:val="00F033CF"/>
    <w:rsid w:val="00F038C2"/>
    <w:rsid w:val="00F053B0"/>
    <w:rsid w:val="00F11A2F"/>
    <w:rsid w:val="00F13403"/>
    <w:rsid w:val="00F15829"/>
    <w:rsid w:val="00F20037"/>
    <w:rsid w:val="00F20792"/>
    <w:rsid w:val="00F20DD4"/>
    <w:rsid w:val="00F21F64"/>
    <w:rsid w:val="00F2383E"/>
    <w:rsid w:val="00F23BAB"/>
    <w:rsid w:val="00F26F24"/>
    <w:rsid w:val="00F274E2"/>
    <w:rsid w:val="00F316E6"/>
    <w:rsid w:val="00F3461B"/>
    <w:rsid w:val="00F346CF"/>
    <w:rsid w:val="00F34FDD"/>
    <w:rsid w:val="00F37C68"/>
    <w:rsid w:val="00F41D2B"/>
    <w:rsid w:val="00F4285A"/>
    <w:rsid w:val="00F42E33"/>
    <w:rsid w:val="00F43A8B"/>
    <w:rsid w:val="00F43F2A"/>
    <w:rsid w:val="00F453CD"/>
    <w:rsid w:val="00F4599F"/>
    <w:rsid w:val="00F46DC7"/>
    <w:rsid w:val="00F50F39"/>
    <w:rsid w:val="00F54484"/>
    <w:rsid w:val="00F545FD"/>
    <w:rsid w:val="00F55BDE"/>
    <w:rsid w:val="00F55C72"/>
    <w:rsid w:val="00F575C9"/>
    <w:rsid w:val="00F6282A"/>
    <w:rsid w:val="00F6440E"/>
    <w:rsid w:val="00F64F03"/>
    <w:rsid w:val="00F655DB"/>
    <w:rsid w:val="00F724A9"/>
    <w:rsid w:val="00F73D56"/>
    <w:rsid w:val="00F74259"/>
    <w:rsid w:val="00F75FDD"/>
    <w:rsid w:val="00F76814"/>
    <w:rsid w:val="00F82515"/>
    <w:rsid w:val="00F8432C"/>
    <w:rsid w:val="00F85742"/>
    <w:rsid w:val="00F877A7"/>
    <w:rsid w:val="00F90CDA"/>
    <w:rsid w:val="00F91BA2"/>
    <w:rsid w:val="00FA1241"/>
    <w:rsid w:val="00FA604D"/>
    <w:rsid w:val="00FB0AD3"/>
    <w:rsid w:val="00FB162C"/>
    <w:rsid w:val="00FB706E"/>
    <w:rsid w:val="00FB78F6"/>
    <w:rsid w:val="00FC04DC"/>
    <w:rsid w:val="00FC0935"/>
    <w:rsid w:val="00FC406A"/>
    <w:rsid w:val="00FC47A9"/>
    <w:rsid w:val="00FC62AC"/>
    <w:rsid w:val="00FC634D"/>
    <w:rsid w:val="00FC73AB"/>
    <w:rsid w:val="00FC75B7"/>
    <w:rsid w:val="00FC7BCB"/>
    <w:rsid w:val="00FD0BF9"/>
    <w:rsid w:val="00FD2517"/>
    <w:rsid w:val="00FE434F"/>
    <w:rsid w:val="00FE6E7B"/>
    <w:rsid w:val="00FF158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02310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906956"/>
    <w:rPr>
      <w:rFonts w:ascii="Calibri" w:eastAsia="Calibri" w:hAnsi="Calibri" w:cs="Times New Roman"/>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rsid w:val="003A3800"/>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3A3800"/>
    <w:rPr>
      <w:rFonts w:ascii="Tahoma" w:eastAsia="Calibri" w:hAnsi="Tahoma" w:cs="Tahoma"/>
      <w:sz w:val="16"/>
      <w:szCs w:val="16"/>
    </w:rPr>
  </w:style>
  <w:style w:type="character" w:styleId="Hiperpovezava">
    <w:name w:val="Hyperlink"/>
    <w:basedOn w:val="Privzetapisavaodstavka"/>
    <w:uiPriority w:val="99"/>
    <w:unhideWhenUsed/>
    <w:rsid w:val="00F75FDD"/>
    <w:rPr>
      <w:color w:val="0000FF" w:themeColor="hyperlink"/>
      <w:u w:val="single"/>
    </w:rPr>
  </w:style>
  <w:style w:type="character" w:styleId="Pripombasklic">
    <w:name w:val="annotation reference"/>
    <w:basedOn w:val="Privzetapisavaodstavka"/>
    <w:unhideWhenUsed/>
    <w:rsid w:val="00DC5294"/>
    <w:rPr>
      <w:sz w:val="16"/>
      <w:szCs w:val="16"/>
    </w:rPr>
  </w:style>
  <w:style w:type="paragraph" w:styleId="Pripombabesedilo">
    <w:name w:val="annotation text"/>
    <w:basedOn w:val="Navaden"/>
    <w:link w:val="PripombabesediloZnak"/>
    <w:unhideWhenUsed/>
    <w:rsid w:val="00DC5294"/>
    <w:pPr>
      <w:spacing w:line="240" w:lineRule="auto"/>
    </w:pPr>
    <w:rPr>
      <w:sz w:val="20"/>
      <w:szCs w:val="20"/>
    </w:rPr>
  </w:style>
  <w:style w:type="character" w:customStyle="1" w:styleId="PripombabesediloZnak">
    <w:name w:val="Pripomba – besedilo Znak"/>
    <w:basedOn w:val="Privzetapisavaodstavka"/>
    <w:link w:val="Pripombabesedilo"/>
    <w:rsid w:val="00DC5294"/>
    <w:rPr>
      <w:rFonts w:ascii="Calibri" w:eastAsia="Calibri" w:hAnsi="Calibri" w:cs="Times New Roman"/>
      <w:sz w:val="20"/>
      <w:szCs w:val="20"/>
    </w:rPr>
  </w:style>
  <w:style w:type="paragraph" w:styleId="Zadevapripombe">
    <w:name w:val="annotation subject"/>
    <w:basedOn w:val="Pripombabesedilo"/>
    <w:next w:val="Pripombabesedilo"/>
    <w:link w:val="ZadevapripombeZnak"/>
    <w:uiPriority w:val="99"/>
    <w:semiHidden/>
    <w:unhideWhenUsed/>
    <w:rsid w:val="00DC5294"/>
    <w:rPr>
      <w:b/>
      <w:bCs/>
    </w:rPr>
  </w:style>
  <w:style w:type="character" w:customStyle="1" w:styleId="ZadevapripombeZnak">
    <w:name w:val="Zadeva pripombe Znak"/>
    <w:basedOn w:val="PripombabesediloZnak"/>
    <w:link w:val="Zadevapripombe"/>
    <w:uiPriority w:val="99"/>
    <w:semiHidden/>
    <w:rsid w:val="00DC5294"/>
    <w:rPr>
      <w:rFonts w:ascii="Calibri" w:eastAsia="Calibri" w:hAnsi="Calibri" w:cs="Times New Roman"/>
      <w:b/>
      <w:bCs/>
      <w:sz w:val="20"/>
      <w:szCs w:val="20"/>
    </w:rPr>
  </w:style>
  <w:style w:type="paragraph" w:styleId="Odstavekseznama">
    <w:name w:val="List Paragraph"/>
    <w:basedOn w:val="Navaden"/>
    <w:uiPriority w:val="34"/>
    <w:qFormat/>
    <w:rsid w:val="006456E0"/>
    <w:pPr>
      <w:ind w:left="720"/>
      <w:contextualSpacing/>
    </w:pPr>
    <w:rPr>
      <w:rFonts w:asciiTheme="minorHAnsi" w:eastAsiaTheme="minorHAnsi" w:hAnsiTheme="minorHAnsi" w:cstheme="minorBidi"/>
    </w:rPr>
  </w:style>
  <w:style w:type="character" w:styleId="SledenaHiperpovezava">
    <w:name w:val="FollowedHyperlink"/>
    <w:basedOn w:val="Privzetapisavaodstavka"/>
    <w:uiPriority w:val="99"/>
    <w:semiHidden/>
    <w:unhideWhenUsed/>
    <w:rsid w:val="002148B4"/>
    <w:rPr>
      <w:color w:val="800080"/>
      <w:u w:val="single"/>
    </w:rPr>
  </w:style>
  <w:style w:type="paragraph" w:customStyle="1" w:styleId="font5">
    <w:name w:val="font5"/>
    <w:basedOn w:val="Navaden"/>
    <w:rsid w:val="002148B4"/>
    <w:pPr>
      <w:spacing w:before="100" w:beforeAutospacing="1" w:after="100" w:afterAutospacing="1" w:line="240" w:lineRule="auto"/>
    </w:pPr>
    <w:rPr>
      <w:rFonts w:eastAsia="Times New Roman"/>
      <w:color w:val="000000"/>
      <w:sz w:val="16"/>
      <w:szCs w:val="16"/>
      <w:lang w:eastAsia="sl-SI"/>
    </w:rPr>
  </w:style>
  <w:style w:type="paragraph" w:customStyle="1" w:styleId="font6">
    <w:name w:val="font6"/>
    <w:basedOn w:val="Navaden"/>
    <w:rsid w:val="002148B4"/>
    <w:pPr>
      <w:spacing w:before="100" w:beforeAutospacing="1" w:after="100" w:afterAutospacing="1" w:line="240" w:lineRule="auto"/>
    </w:pPr>
    <w:rPr>
      <w:rFonts w:eastAsia="Times New Roman"/>
      <w:color w:val="000000"/>
      <w:lang w:eastAsia="sl-SI"/>
    </w:rPr>
  </w:style>
  <w:style w:type="paragraph" w:customStyle="1" w:styleId="xl65">
    <w:name w:val="xl65"/>
    <w:basedOn w:val="Navaden"/>
    <w:rsid w:val="002148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16"/>
      <w:szCs w:val="16"/>
      <w:lang w:eastAsia="sl-SI"/>
    </w:rPr>
  </w:style>
  <w:style w:type="paragraph" w:customStyle="1" w:styleId="xl66">
    <w:name w:val="xl66"/>
    <w:basedOn w:val="Navaden"/>
    <w:rsid w:val="00214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sl-SI"/>
    </w:rPr>
  </w:style>
  <w:style w:type="paragraph" w:customStyle="1" w:styleId="xl67">
    <w:name w:val="xl67"/>
    <w:basedOn w:val="Navaden"/>
    <w:rsid w:val="00214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sl-SI"/>
    </w:rPr>
  </w:style>
  <w:style w:type="paragraph" w:customStyle="1" w:styleId="xl68">
    <w:name w:val="xl68"/>
    <w:basedOn w:val="Navaden"/>
    <w:rsid w:val="00214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000000"/>
      <w:sz w:val="16"/>
      <w:szCs w:val="16"/>
      <w:lang w:eastAsia="sl-SI"/>
    </w:rPr>
  </w:style>
  <w:style w:type="paragraph" w:customStyle="1" w:styleId="xl69">
    <w:name w:val="xl69"/>
    <w:basedOn w:val="Navaden"/>
    <w:rsid w:val="00214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000000"/>
      <w:sz w:val="16"/>
      <w:szCs w:val="16"/>
      <w:lang w:eastAsia="sl-SI"/>
    </w:rPr>
  </w:style>
  <w:style w:type="paragraph" w:customStyle="1" w:styleId="xl70">
    <w:name w:val="xl70"/>
    <w:basedOn w:val="Navaden"/>
    <w:rsid w:val="00214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sl-SI"/>
    </w:rPr>
  </w:style>
  <w:style w:type="paragraph" w:customStyle="1" w:styleId="xl71">
    <w:name w:val="xl71"/>
    <w:basedOn w:val="Navaden"/>
    <w:rsid w:val="00214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16"/>
      <w:szCs w:val="16"/>
      <w:lang w:eastAsia="sl-SI"/>
    </w:rPr>
  </w:style>
  <w:style w:type="paragraph" w:customStyle="1" w:styleId="xl72">
    <w:name w:val="xl72"/>
    <w:basedOn w:val="Navaden"/>
    <w:rsid w:val="00214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16"/>
      <w:szCs w:val="16"/>
      <w:lang w:eastAsia="sl-SI"/>
    </w:rPr>
  </w:style>
  <w:style w:type="paragraph" w:customStyle="1" w:styleId="xl73">
    <w:name w:val="xl73"/>
    <w:basedOn w:val="Navaden"/>
    <w:rsid w:val="00214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000000"/>
      <w:sz w:val="16"/>
      <w:szCs w:val="16"/>
      <w:lang w:eastAsia="sl-SI"/>
    </w:rPr>
  </w:style>
  <w:style w:type="paragraph" w:customStyle="1" w:styleId="xl74">
    <w:name w:val="xl74"/>
    <w:basedOn w:val="Navaden"/>
    <w:rsid w:val="002148B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color w:val="000000"/>
      <w:sz w:val="20"/>
      <w:szCs w:val="20"/>
      <w:lang w:eastAsia="sl-SI"/>
    </w:rPr>
  </w:style>
  <w:style w:type="paragraph" w:customStyle="1" w:styleId="xl75">
    <w:name w:val="xl75"/>
    <w:basedOn w:val="Navaden"/>
    <w:rsid w:val="002148B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top"/>
    </w:pPr>
    <w:rPr>
      <w:rFonts w:ascii="Times New Roman" w:eastAsia="Times New Roman" w:hAnsi="Times New Roman"/>
      <w:sz w:val="20"/>
      <w:szCs w:val="20"/>
      <w:lang w:eastAsia="sl-SI"/>
    </w:rPr>
  </w:style>
  <w:style w:type="paragraph" w:customStyle="1" w:styleId="xl76">
    <w:name w:val="xl76"/>
    <w:basedOn w:val="Navaden"/>
    <w:rsid w:val="00214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b/>
      <w:bCs/>
      <w:color w:val="000000"/>
      <w:sz w:val="16"/>
      <w:szCs w:val="16"/>
      <w:lang w:eastAsia="sl-SI"/>
    </w:rPr>
  </w:style>
  <w:style w:type="paragraph" w:customStyle="1" w:styleId="xl77">
    <w:name w:val="xl77"/>
    <w:basedOn w:val="Navaden"/>
    <w:rsid w:val="002148B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b/>
      <w:bCs/>
      <w:color w:val="000000"/>
      <w:sz w:val="16"/>
      <w:szCs w:val="16"/>
      <w:lang w:eastAsia="sl-SI"/>
    </w:rPr>
  </w:style>
  <w:style w:type="paragraph" w:customStyle="1" w:styleId="xl78">
    <w:name w:val="xl78"/>
    <w:basedOn w:val="Navaden"/>
    <w:rsid w:val="002148B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b/>
      <w:bCs/>
      <w:color w:val="000000"/>
      <w:sz w:val="18"/>
      <w:szCs w:val="18"/>
      <w:lang w:eastAsia="sl-SI"/>
    </w:rPr>
  </w:style>
  <w:style w:type="paragraph" w:customStyle="1" w:styleId="xl79">
    <w:name w:val="xl79"/>
    <w:basedOn w:val="Navaden"/>
    <w:rsid w:val="002148B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Arial" w:eastAsia="Times New Roman" w:hAnsi="Arial" w:cs="Arial"/>
      <w:b/>
      <w:bCs/>
      <w:color w:val="000000"/>
      <w:sz w:val="18"/>
      <w:szCs w:val="18"/>
      <w:lang w:eastAsia="sl-SI"/>
    </w:rPr>
  </w:style>
  <w:style w:type="paragraph" w:customStyle="1" w:styleId="xl80">
    <w:name w:val="xl80"/>
    <w:basedOn w:val="Navaden"/>
    <w:rsid w:val="002148B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sl-SI"/>
    </w:rPr>
  </w:style>
  <w:style w:type="paragraph" w:customStyle="1" w:styleId="xl81">
    <w:name w:val="xl81"/>
    <w:basedOn w:val="Navaden"/>
    <w:rsid w:val="002148B4"/>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000000"/>
      <w:sz w:val="16"/>
      <w:szCs w:val="16"/>
      <w:lang w:eastAsia="sl-SI"/>
    </w:rPr>
  </w:style>
  <w:style w:type="paragraph" w:customStyle="1" w:styleId="xl82">
    <w:name w:val="xl82"/>
    <w:basedOn w:val="Navaden"/>
    <w:rsid w:val="002148B4"/>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000000"/>
      <w:sz w:val="16"/>
      <w:szCs w:val="16"/>
      <w:lang w:eastAsia="sl-SI"/>
    </w:rPr>
  </w:style>
  <w:style w:type="paragraph" w:customStyle="1" w:styleId="xl83">
    <w:name w:val="xl83"/>
    <w:basedOn w:val="Navaden"/>
    <w:rsid w:val="002148B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sl-SI"/>
    </w:rPr>
  </w:style>
  <w:style w:type="paragraph" w:customStyle="1" w:styleId="xl84">
    <w:name w:val="xl84"/>
    <w:basedOn w:val="Navaden"/>
    <w:rsid w:val="002148B4"/>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000000"/>
      <w:sz w:val="16"/>
      <w:szCs w:val="16"/>
      <w:lang w:eastAsia="sl-SI"/>
    </w:rPr>
  </w:style>
  <w:style w:type="paragraph" w:customStyle="1" w:styleId="xl85">
    <w:name w:val="xl85"/>
    <w:basedOn w:val="Navaden"/>
    <w:rsid w:val="002148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olor w:val="000000"/>
      <w:sz w:val="16"/>
      <w:szCs w:val="16"/>
      <w:lang w:eastAsia="sl-SI"/>
    </w:rPr>
  </w:style>
  <w:style w:type="paragraph" w:customStyle="1" w:styleId="xl86">
    <w:name w:val="xl86"/>
    <w:basedOn w:val="Navaden"/>
    <w:rsid w:val="002148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olor w:val="000000"/>
      <w:sz w:val="16"/>
      <w:szCs w:val="16"/>
      <w:lang w:eastAsia="sl-SI"/>
    </w:rPr>
  </w:style>
  <w:style w:type="paragraph" w:styleId="Glava">
    <w:name w:val="header"/>
    <w:basedOn w:val="Navaden"/>
    <w:link w:val="GlavaZnak"/>
    <w:unhideWhenUsed/>
    <w:rsid w:val="00513180"/>
    <w:pPr>
      <w:tabs>
        <w:tab w:val="center" w:pos="4536"/>
        <w:tab w:val="right" w:pos="9072"/>
      </w:tabs>
      <w:spacing w:after="0" w:line="240" w:lineRule="auto"/>
    </w:pPr>
  </w:style>
  <w:style w:type="character" w:customStyle="1" w:styleId="GlavaZnak">
    <w:name w:val="Glava Znak"/>
    <w:basedOn w:val="Privzetapisavaodstavka"/>
    <w:link w:val="Glava"/>
    <w:rsid w:val="00513180"/>
    <w:rPr>
      <w:rFonts w:ascii="Calibri" w:eastAsia="Calibri" w:hAnsi="Calibri" w:cs="Times New Roman"/>
    </w:rPr>
  </w:style>
  <w:style w:type="paragraph" w:styleId="Noga">
    <w:name w:val="footer"/>
    <w:basedOn w:val="Navaden"/>
    <w:link w:val="NogaZnak"/>
    <w:uiPriority w:val="99"/>
    <w:unhideWhenUsed/>
    <w:rsid w:val="00513180"/>
    <w:pPr>
      <w:tabs>
        <w:tab w:val="center" w:pos="4536"/>
        <w:tab w:val="right" w:pos="9072"/>
      </w:tabs>
      <w:spacing w:after="0" w:line="240" w:lineRule="auto"/>
    </w:pPr>
  </w:style>
  <w:style w:type="character" w:customStyle="1" w:styleId="NogaZnak">
    <w:name w:val="Noga Znak"/>
    <w:basedOn w:val="Privzetapisavaodstavka"/>
    <w:link w:val="Noga"/>
    <w:uiPriority w:val="99"/>
    <w:rsid w:val="00513180"/>
    <w:rPr>
      <w:rFonts w:ascii="Calibri" w:eastAsia="Calibri" w:hAnsi="Calibri" w:cs="Times New Roman"/>
    </w:rPr>
  </w:style>
  <w:style w:type="numbering" w:customStyle="1" w:styleId="Brezseznama1">
    <w:name w:val="Brez seznama1"/>
    <w:next w:val="Brezseznama"/>
    <w:uiPriority w:val="99"/>
    <w:semiHidden/>
    <w:unhideWhenUsed/>
    <w:rsid w:val="002265E5"/>
  </w:style>
  <w:style w:type="table" w:styleId="Tabelamrea">
    <w:name w:val="Table Grid"/>
    <w:basedOn w:val="Navadnatabela"/>
    <w:uiPriority w:val="59"/>
    <w:rsid w:val="002265E5"/>
    <w:pPr>
      <w:spacing w:after="0" w:line="240" w:lineRule="auto"/>
    </w:pPr>
    <w:rPr>
      <w:rFonts w:ascii="Calibri" w:eastAsia="Calibri" w:hAnsi="Calibri" w:cs="Times New Roman"/>
      <w:sz w:val="20"/>
      <w:szCs w:val="20"/>
      <w:lang w:eastAsia="sl-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87">
    <w:name w:val="xl87"/>
    <w:basedOn w:val="Navaden"/>
    <w:rsid w:val="002C70AA"/>
    <w:pPr>
      <w:pBdr>
        <w:bottom w:val="single" w:sz="8"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color w:val="000000"/>
      <w:sz w:val="16"/>
      <w:szCs w:val="16"/>
      <w:lang w:eastAsia="sl-SI"/>
    </w:rPr>
  </w:style>
  <w:style w:type="paragraph" w:customStyle="1" w:styleId="xl88">
    <w:name w:val="xl88"/>
    <w:basedOn w:val="Navaden"/>
    <w:rsid w:val="002C70AA"/>
    <w:pPr>
      <w:pBdr>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olor w:val="000000"/>
      <w:sz w:val="16"/>
      <w:szCs w:val="16"/>
      <w:lang w:eastAsia="sl-SI"/>
    </w:rPr>
  </w:style>
  <w:style w:type="paragraph" w:customStyle="1" w:styleId="xl89">
    <w:name w:val="xl89"/>
    <w:basedOn w:val="Navaden"/>
    <w:rsid w:val="002C70AA"/>
    <w:pPr>
      <w:pBdr>
        <w:bottom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olor w:val="000000"/>
      <w:sz w:val="16"/>
      <w:szCs w:val="16"/>
      <w:lang w:eastAsia="sl-SI"/>
    </w:rPr>
  </w:style>
  <w:style w:type="paragraph" w:customStyle="1" w:styleId="xl90">
    <w:name w:val="xl90"/>
    <w:basedOn w:val="Navaden"/>
    <w:rsid w:val="002C70AA"/>
    <w:pPr>
      <w:pBdr>
        <w:bottom w:val="single" w:sz="8" w:space="0" w:color="auto"/>
        <w:right w:val="single" w:sz="8"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olor w:val="000000"/>
      <w:sz w:val="16"/>
      <w:szCs w:val="16"/>
      <w:lang w:eastAsia="sl-SI"/>
    </w:rPr>
  </w:style>
  <w:style w:type="paragraph" w:customStyle="1" w:styleId="xl91">
    <w:name w:val="xl91"/>
    <w:basedOn w:val="Navaden"/>
    <w:rsid w:val="002C70AA"/>
    <w:pPr>
      <w:pBdr>
        <w:bottom w:val="single" w:sz="8" w:space="0" w:color="auto"/>
        <w:right w:val="single" w:sz="8" w:space="0" w:color="auto"/>
      </w:pBdr>
      <w:shd w:val="clear" w:color="000000" w:fill="FFC000"/>
      <w:spacing w:before="100" w:beforeAutospacing="1" w:after="100" w:afterAutospacing="1" w:line="240" w:lineRule="auto"/>
      <w:jc w:val="right"/>
      <w:textAlignment w:val="center"/>
    </w:pPr>
    <w:rPr>
      <w:rFonts w:ascii="Times New Roman" w:eastAsia="Times New Roman" w:hAnsi="Times New Roman"/>
      <w:color w:val="000000"/>
      <w:sz w:val="16"/>
      <w:szCs w:val="16"/>
      <w:lang w:eastAsia="sl-SI"/>
    </w:rPr>
  </w:style>
  <w:style w:type="paragraph" w:customStyle="1" w:styleId="xl92">
    <w:name w:val="xl92"/>
    <w:basedOn w:val="Navaden"/>
    <w:rsid w:val="002C70AA"/>
    <w:pPr>
      <w:pBdr>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olor w:val="000000"/>
      <w:sz w:val="16"/>
      <w:szCs w:val="16"/>
      <w:lang w:eastAsia="sl-SI"/>
    </w:rPr>
  </w:style>
  <w:style w:type="paragraph" w:customStyle="1" w:styleId="xl93">
    <w:name w:val="xl93"/>
    <w:basedOn w:val="Navaden"/>
    <w:rsid w:val="002C70AA"/>
    <w:pPr>
      <w:pBdr>
        <w:bottom w:val="single" w:sz="8" w:space="0" w:color="auto"/>
        <w:right w:val="single" w:sz="8" w:space="0" w:color="auto"/>
      </w:pBdr>
      <w:shd w:val="clear" w:color="000000" w:fill="FF0000"/>
      <w:spacing w:before="100" w:beforeAutospacing="1" w:after="100" w:afterAutospacing="1" w:line="240" w:lineRule="auto"/>
      <w:jc w:val="right"/>
      <w:textAlignment w:val="center"/>
    </w:pPr>
    <w:rPr>
      <w:rFonts w:ascii="Times New Roman" w:eastAsia="Times New Roman" w:hAnsi="Times New Roman"/>
      <w:color w:val="000000"/>
      <w:sz w:val="16"/>
      <w:szCs w:val="16"/>
      <w:lang w:eastAsia="sl-SI"/>
    </w:rPr>
  </w:style>
  <w:style w:type="numbering" w:customStyle="1" w:styleId="Brezseznama2">
    <w:name w:val="Brez seznama2"/>
    <w:next w:val="Brezseznama"/>
    <w:uiPriority w:val="99"/>
    <w:semiHidden/>
    <w:unhideWhenUsed/>
    <w:rsid w:val="000E5DA7"/>
  </w:style>
  <w:style w:type="numbering" w:customStyle="1" w:styleId="Brezseznama11">
    <w:name w:val="Brez seznama11"/>
    <w:next w:val="Brezseznama"/>
    <w:uiPriority w:val="99"/>
    <w:semiHidden/>
    <w:unhideWhenUsed/>
    <w:rsid w:val="000E5DA7"/>
  </w:style>
  <w:style w:type="table" w:customStyle="1" w:styleId="Tabelamrea1">
    <w:name w:val="Tabela – mreža1"/>
    <w:basedOn w:val="Navadnatabela"/>
    <w:next w:val="Tabelamrea"/>
    <w:uiPriority w:val="59"/>
    <w:rsid w:val="000E5DA7"/>
    <w:pPr>
      <w:spacing w:after="0" w:line="240" w:lineRule="auto"/>
    </w:pPr>
    <w:rPr>
      <w:rFonts w:ascii="Calibri" w:eastAsia="Calibri" w:hAnsi="Calibri" w:cs="Times New Roman"/>
      <w:sz w:val="20"/>
      <w:szCs w:val="20"/>
      <w:lang w:eastAsia="sl-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rezseznama3">
    <w:name w:val="Brez seznama3"/>
    <w:next w:val="Brezseznama"/>
    <w:uiPriority w:val="99"/>
    <w:semiHidden/>
    <w:unhideWhenUsed/>
    <w:rsid w:val="00193E5B"/>
  </w:style>
  <w:style w:type="numbering" w:customStyle="1" w:styleId="Brezseznama12">
    <w:name w:val="Brez seznama12"/>
    <w:next w:val="Brezseznama"/>
    <w:uiPriority w:val="99"/>
    <w:semiHidden/>
    <w:unhideWhenUsed/>
    <w:rsid w:val="00193E5B"/>
  </w:style>
  <w:style w:type="table" w:customStyle="1" w:styleId="Tabelamrea2">
    <w:name w:val="Tabela – mreža2"/>
    <w:basedOn w:val="Navadnatabela"/>
    <w:next w:val="Tabelamrea"/>
    <w:uiPriority w:val="59"/>
    <w:rsid w:val="00193E5B"/>
    <w:pPr>
      <w:spacing w:after="0" w:line="240" w:lineRule="auto"/>
    </w:pPr>
    <w:rPr>
      <w:rFonts w:ascii="Calibri" w:eastAsia="Calibri" w:hAnsi="Calibri" w:cs="Times New Roman"/>
      <w:sz w:val="20"/>
      <w:szCs w:val="20"/>
      <w:lang w:eastAsia="sl-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Navaden"/>
    <w:rsid w:val="00193E5B"/>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xl64">
    <w:name w:val="xl64"/>
    <w:basedOn w:val="Navaden"/>
    <w:rsid w:val="00193E5B"/>
    <w:pPr>
      <w:spacing w:before="100" w:beforeAutospacing="1" w:after="100" w:afterAutospacing="1" w:line="240" w:lineRule="auto"/>
    </w:pPr>
    <w:rPr>
      <w:rFonts w:ascii="Times New Roman" w:eastAsia="Times New Roman" w:hAnsi="Times New Roman"/>
      <w:b/>
      <w:bCs/>
      <w:sz w:val="24"/>
      <w:szCs w:val="24"/>
      <w:lang w:eastAsia="sl-SI"/>
    </w:rPr>
  </w:style>
  <w:style w:type="character" w:styleId="Krepko">
    <w:name w:val="Strong"/>
    <w:basedOn w:val="Privzetapisavaodstavka"/>
    <w:uiPriority w:val="22"/>
    <w:qFormat/>
    <w:rsid w:val="00DF6183"/>
    <w:rPr>
      <w:b/>
      <w:bCs/>
    </w:rPr>
  </w:style>
  <w:style w:type="paragraph" w:styleId="Brezrazmikov">
    <w:name w:val="No Spacing"/>
    <w:uiPriority w:val="1"/>
    <w:qFormat/>
    <w:rsid w:val="0073089F"/>
    <w:pPr>
      <w:spacing w:after="0" w:line="240" w:lineRule="auto"/>
    </w:pPr>
    <w:rPr>
      <w:rFonts w:ascii="Calibri" w:eastAsia="Calibri" w:hAnsi="Calibri" w:cs="Times New Roman"/>
    </w:rPr>
  </w:style>
  <w:style w:type="paragraph" w:styleId="Sprotnaopomba-besedilo">
    <w:name w:val="footnote text"/>
    <w:basedOn w:val="Navaden"/>
    <w:link w:val="Sprotnaopomba-besediloZnak"/>
    <w:uiPriority w:val="99"/>
    <w:semiHidden/>
    <w:unhideWhenUsed/>
    <w:rsid w:val="0004736F"/>
    <w:rPr>
      <w:sz w:val="20"/>
      <w:szCs w:val="20"/>
    </w:rPr>
  </w:style>
  <w:style w:type="character" w:customStyle="1" w:styleId="Sprotnaopomba-besediloZnak">
    <w:name w:val="Sprotna opomba - besedilo Znak"/>
    <w:basedOn w:val="Privzetapisavaodstavka"/>
    <w:link w:val="Sprotnaopomba-besedilo"/>
    <w:uiPriority w:val="99"/>
    <w:semiHidden/>
    <w:rsid w:val="0004736F"/>
    <w:rPr>
      <w:rFonts w:ascii="Calibri" w:eastAsia="Calibri" w:hAnsi="Calibri" w:cs="Times New Roman"/>
      <w:sz w:val="20"/>
      <w:szCs w:val="20"/>
    </w:rPr>
  </w:style>
  <w:style w:type="character" w:styleId="Sprotnaopomba-sklic">
    <w:name w:val="footnote reference"/>
    <w:uiPriority w:val="99"/>
    <w:semiHidden/>
    <w:unhideWhenUsed/>
    <w:rsid w:val="0004736F"/>
    <w:rPr>
      <w:vertAlign w:val="superscript"/>
    </w:rPr>
  </w:style>
  <w:style w:type="paragraph" w:customStyle="1" w:styleId="odstavek1">
    <w:name w:val="odstavek1"/>
    <w:basedOn w:val="Navaden"/>
    <w:rsid w:val="00803BB1"/>
    <w:pPr>
      <w:spacing w:before="240" w:after="0" w:line="240" w:lineRule="auto"/>
      <w:ind w:firstLine="1021"/>
      <w:jc w:val="both"/>
    </w:pPr>
    <w:rPr>
      <w:rFonts w:ascii="Arial" w:eastAsia="Times New Roman" w:hAnsi="Arial" w:cs="Arial"/>
      <w:lang w:eastAsia="sl-SI"/>
    </w:rPr>
  </w:style>
  <w:style w:type="paragraph" w:customStyle="1" w:styleId="alineazaodstavkom1">
    <w:name w:val="alineazaodstavkom1"/>
    <w:basedOn w:val="Navaden"/>
    <w:rsid w:val="00803BB1"/>
    <w:pPr>
      <w:spacing w:after="0" w:line="240" w:lineRule="auto"/>
      <w:ind w:left="425" w:hanging="425"/>
      <w:jc w:val="both"/>
    </w:pPr>
    <w:rPr>
      <w:rFonts w:ascii="Arial" w:eastAsia="Times New Roman" w:hAnsi="Arial" w:cs="Arial"/>
      <w:lang w:eastAsia="sl-SI"/>
    </w:rPr>
  </w:style>
  <w:style w:type="paragraph" w:customStyle="1" w:styleId="Text1">
    <w:name w:val="Text 1"/>
    <w:basedOn w:val="Navaden"/>
    <w:rsid w:val="006B6FC6"/>
    <w:pPr>
      <w:spacing w:before="120" w:after="120" w:line="240" w:lineRule="auto"/>
      <w:ind w:left="850"/>
      <w:jc w:val="both"/>
    </w:pPr>
    <w:rPr>
      <w:rFonts w:ascii="Times New Roman" w:eastAsia="Times New Roman" w:hAnsi="Times New Roman"/>
      <w:sz w:val="24"/>
      <w:lang w:eastAsia="sl-SI" w:bidi="sl-SI"/>
    </w:rPr>
  </w:style>
  <w:style w:type="paragraph" w:customStyle="1" w:styleId="Navaden1">
    <w:name w:val="Navaden1"/>
    <w:basedOn w:val="Navaden"/>
    <w:rsid w:val="0029731A"/>
    <w:pPr>
      <w:spacing w:before="100" w:beforeAutospacing="1" w:after="100" w:afterAutospacing="1" w:line="240" w:lineRule="auto"/>
    </w:pPr>
    <w:rPr>
      <w:rFonts w:ascii="Times New Roman" w:eastAsia="Times New Roman" w:hAnsi="Times New Roman"/>
      <w:sz w:val="24"/>
      <w:szCs w:val="24"/>
      <w:lang w:eastAsia="sl-SI"/>
    </w:rPr>
  </w:style>
  <w:style w:type="character" w:customStyle="1" w:styleId="highlight">
    <w:name w:val="highlight"/>
    <w:basedOn w:val="Privzetapisavaodstavka"/>
    <w:rsid w:val="0089324F"/>
  </w:style>
  <w:style w:type="paragraph" w:customStyle="1" w:styleId="Neotevilenodstavek">
    <w:name w:val="Neoštevilčen odstavek"/>
    <w:basedOn w:val="Navaden"/>
    <w:link w:val="NeotevilenodstavekZnak"/>
    <w:qFormat/>
    <w:rsid w:val="005E229E"/>
    <w:pPr>
      <w:overflowPunct w:val="0"/>
      <w:autoSpaceDE w:val="0"/>
      <w:autoSpaceDN w:val="0"/>
      <w:adjustRightInd w:val="0"/>
      <w:spacing w:before="60" w:after="60" w:line="200" w:lineRule="exact"/>
      <w:jc w:val="both"/>
      <w:textAlignment w:val="baseline"/>
    </w:pPr>
    <w:rPr>
      <w:rFonts w:ascii="Arial" w:eastAsia="Times New Roman" w:hAnsi="Arial" w:cs="Arial"/>
      <w:lang w:eastAsia="sl-SI"/>
    </w:rPr>
  </w:style>
  <w:style w:type="character" w:customStyle="1" w:styleId="NeotevilenodstavekZnak">
    <w:name w:val="Neoštevilčen odstavek Znak"/>
    <w:link w:val="Neotevilenodstavek"/>
    <w:rsid w:val="005E229E"/>
    <w:rPr>
      <w:rFonts w:ascii="Arial" w:eastAsia="Times New Roman" w:hAnsi="Arial" w:cs="Arial"/>
      <w:lang w:eastAsia="sl-SI"/>
    </w:rPr>
  </w:style>
  <w:style w:type="paragraph" w:customStyle="1" w:styleId="Default">
    <w:name w:val="Default"/>
    <w:rsid w:val="00F724A9"/>
    <w:pPr>
      <w:autoSpaceDE w:val="0"/>
      <w:autoSpaceDN w:val="0"/>
      <w:adjustRightInd w:val="0"/>
      <w:spacing w:after="0" w:line="240" w:lineRule="auto"/>
    </w:pPr>
    <w:rPr>
      <w:rFonts w:ascii="Times New Roman" w:eastAsia="Calibri" w:hAnsi="Times New Roman" w:cs="Times New Roman"/>
      <w:color w:val="000000"/>
      <w:sz w:val="24"/>
      <w:szCs w:val="24"/>
      <w:lang w:eastAsia="sl-SI"/>
    </w:rPr>
  </w:style>
  <w:style w:type="paragraph" w:styleId="Telobesedila">
    <w:name w:val="Body Text"/>
    <w:basedOn w:val="Navaden"/>
    <w:link w:val="TelobesedilaZnak"/>
    <w:uiPriority w:val="99"/>
    <w:unhideWhenUsed/>
    <w:qFormat/>
    <w:rsid w:val="00F724A9"/>
    <w:pPr>
      <w:spacing w:after="160" w:line="240" w:lineRule="auto"/>
      <w:jc w:val="both"/>
    </w:pPr>
    <w:rPr>
      <w:rFonts w:ascii="Georgia" w:eastAsia="Georgia" w:hAnsi="Georgia"/>
      <w:sz w:val="20"/>
      <w:szCs w:val="20"/>
    </w:rPr>
  </w:style>
  <w:style w:type="character" w:customStyle="1" w:styleId="TelobesedilaZnak">
    <w:name w:val="Telo besedila Znak"/>
    <w:basedOn w:val="Privzetapisavaodstavka"/>
    <w:link w:val="Telobesedila"/>
    <w:uiPriority w:val="99"/>
    <w:rsid w:val="00F724A9"/>
    <w:rPr>
      <w:rFonts w:ascii="Georgia" w:eastAsia="Georgia" w:hAnsi="Georgia"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906956"/>
    <w:rPr>
      <w:rFonts w:ascii="Calibri" w:eastAsia="Calibri" w:hAnsi="Calibri" w:cs="Times New Roman"/>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rsid w:val="003A3800"/>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3A3800"/>
    <w:rPr>
      <w:rFonts w:ascii="Tahoma" w:eastAsia="Calibri" w:hAnsi="Tahoma" w:cs="Tahoma"/>
      <w:sz w:val="16"/>
      <w:szCs w:val="16"/>
    </w:rPr>
  </w:style>
  <w:style w:type="character" w:styleId="Hiperpovezava">
    <w:name w:val="Hyperlink"/>
    <w:basedOn w:val="Privzetapisavaodstavka"/>
    <w:uiPriority w:val="99"/>
    <w:unhideWhenUsed/>
    <w:rsid w:val="00F75FDD"/>
    <w:rPr>
      <w:color w:val="0000FF" w:themeColor="hyperlink"/>
      <w:u w:val="single"/>
    </w:rPr>
  </w:style>
  <w:style w:type="character" w:styleId="Pripombasklic">
    <w:name w:val="annotation reference"/>
    <w:basedOn w:val="Privzetapisavaodstavka"/>
    <w:unhideWhenUsed/>
    <w:rsid w:val="00DC5294"/>
    <w:rPr>
      <w:sz w:val="16"/>
      <w:szCs w:val="16"/>
    </w:rPr>
  </w:style>
  <w:style w:type="paragraph" w:styleId="Pripombabesedilo">
    <w:name w:val="annotation text"/>
    <w:basedOn w:val="Navaden"/>
    <w:link w:val="PripombabesediloZnak"/>
    <w:unhideWhenUsed/>
    <w:rsid w:val="00DC5294"/>
    <w:pPr>
      <w:spacing w:line="240" w:lineRule="auto"/>
    </w:pPr>
    <w:rPr>
      <w:sz w:val="20"/>
      <w:szCs w:val="20"/>
    </w:rPr>
  </w:style>
  <w:style w:type="character" w:customStyle="1" w:styleId="PripombabesediloZnak">
    <w:name w:val="Pripomba – besedilo Znak"/>
    <w:basedOn w:val="Privzetapisavaodstavka"/>
    <w:link w:val="Pripombabesedilo"/>
    <w:rsid w:val="00DC5294"/>
    <w:rPr>
      <w:rFonts w:ascii="Calibri" w:eastAsia="Calibri" w:hAnsi="Calibri" w:cs="Times New Roman"/>
      <w:sz w:val="20"/>
      <w:szCs w:val="20"/>
    </w:rPr>
  </w:style>
  <w:style w:type="paragraph" w:styleId="Zadevapripombe">
    <w:name w:val="annotation subject"/>
    <w:basedOn w:val="Pripombabesedilo"/>
    <w:next w:val="Pripombabesedilo"/>
    <w:link w:val="ZadevapripombeZnak"/>
    <w:uiPriority w:val="99"/>
    <w:semiHidden/>
    <w:unhideWhenUsed/>
    <w:rsid w:val="00DC5294"/>
    <w:rPr>
      <w:b/>
      <w:bCs/>
    </w:rPr>
  </w:style>
  <w:style w:type="character" w:customStyle="1" w:styleId="ZadevapripombeZnak">
    <w:name w:val="Zadeva pripombe Znak"/>
    <w:basedOn w:val="PripombabesediloZnak"/>
    <w:link w:val="Zadevapripombe"/>
    <w:uiPriority w:val="99"/>
    <w:semiHidden/>
    <w:rsid w:val="00DC5294"/>
    <w:rPr>
      <w:rFonts w:ascii="Calibri" w:eastAsia="Calibri" w:hAnsi="Calibri" w:cs="Times New Roman"/>
      <w:b/>
      <w:bCs/>
      <w:sz w:val="20"/>
      <w:szCs w:val="20"/>
    </w:rPr>
  </w:style>
  <w:style w:type="paragraph" w:styleId="Odstavekseznama">
    <w:name w:val="List Paragraph"/>
    <w:basedOn w:val="Navaden"/>
    <w:uiPriority w:val="34"/>
    <w:qFormat/>
    <w:rsid w:val="006456E0"/>
    <w:pPr>
      <w:ind w:left="720"/>
      <w:contextualSpacing/>
    </w:pPr>
    <w:rPr>
      <w:rFonts w:asciiTheme="minorHAnsi" w:eastAsiaTheme="minorHAnsi" w:hAnsiTheme="minorHAnsi" w:cstheme="minorBidi"/>
    </w:rPr>
  </w:style>
  <w:style w:type="character" w:styleId="SledenaHiperpovezava">
    <w:name w:val="FollowedHyperlink"/>
    <w:basedOn w:val="Privzetapisavaodstavka"/>
    <w:uiPriority w:val="99"/>
    <w:semiHidden/>
    <w:unhideWhenUsed/>
    <w:rsid w:val="002148B4"/>
    <w:rPr>
      <w:color w:val="800080"/>
      <w:u w:val="single"/>
    </w:rPr>
  </w:style>
  <w:style w:type="paragraph" w:customStyle="1" w:styleId="font5">
    <w:name w:val="font5"/>
    <w:basedOn w:val="Navaden"/>
    <w:rsid w:val="002148B4"/>
    <w:pPr>
      <w:spacing w:before="100" w:beforeAutospacing="1" w:after="100" w:afterAutospacing="1" w:line="240" w:lineRule="auto"/>
    </w:pPr>
    <w:rPr>
      <w:rFonts w:eastAsia="Times New Roman"/>
      <w:color w:val="000000"/>
      <w:sz w:val="16"/>
      <w:szCs w:val="16"/>
      <w:lang w:eastAsia="sl-SI"/>
    </w:rPr>
  </w:style>
  <w:style w:type="paragraph" w:customStyle="1" w:styleId="font6">
    <w:name w:val="font6"/>
    <w:basedOn w:val="Navaden"/>
    <w:rsid w:val="002148B4"/>
    <w:pPr>
      <w:spacing w:before="100" w:beforeAutospacing="1" w:after="100" w:afterAutospacing="1" w:line="240" w:lineRule="auto"/>
    </w:pPr>
    <w:rPr>
      <w:rFonts w:eastAsia="Times New Roman"/>
      <w:color w:val="000000"/>
      <w:lang w:eastAsia="sl-SI"/>
    </w:rPr>
  </w:style>
  <w:style w:type="paragraph" w:customStyle="1" w:styleId="xl65">
    <w:name w:val="xl65"/>
    <w:basedOn w:val="Navaden"/>
    <w:rsid w:val="002148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16"/>
      <w:szCs w:val="16"/>
      <w:lang w:eastAsia="sl-SI"/>
    </w:rPr>
  </w:style>
  <w:style w:type="paragraph" w:customStyle="1" w:styleId="xl66">
    <w:name w:val="xl66"/>
    <w:basedOn w:val="Navaden"/>
    <w:rsid w:val="00214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sl-SI"/>
    </w:rPr>
  </w:style>
  <w:style w:type="paragraph" w:customStyle="1" w:styleId="xl67">
    <w:name w:val="xl67"/>
    <w:basedOn w:val="Navaden"/>
    <w:rsid w:val="00214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sl-SI"/>
    </w:rPr>
  </w:style>
  <w:style w:type="paragraph" w:customStyle="1" w:styleId="xl68">
    <w:name w:val="xl68"/>
    <w:basedOn w:val="Navaden"/>
    <w:rsid w:val="00214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000000"/>
      <w:sz w:val="16"/>
      <w:szCs w:val="16"/>
      <w:lang w:eastAsia="sl-SI"/>
    </w:rPr>
  </w:style>
  <w:style w:type="paragraph" w:customStyle="1" w:styleId="xl69">
    <w:name w:val="xl69"/>
    <w:basedOn w:val="Navaden"/>
    <w:rsid w:val="00214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000000"/>
      <w:sz w:val="16"/>
      <w:szCs w:val="16"/>
      <w:lang w:eastAsia="sl-SI"/>
    </w:rPr>
  </w:style>
  <w:style w:type="paragraph" w:customStyle="1" w:styleId="xl70">
    <w:name w:val="xl70"/>
    <w:basedOn w:val="Navaden"/>
    <w:rsid w:val="00214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sl-SI"/>
    </w:rPr>
  </w:style>
  <w:style w:type="paragraph" w:customStyle="1" w:styleId="xl71">
    <w:name w:val="xl71"/>
    <w:basedOn w:val="Navaden"/>
    <w:rsid w:val="00214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16"/>
      <w:szCs w:val="16"/>
      <w:lang w:eastAsia="sl-SI"/>
    </w:rPr>
  </w:style>
  <w:style w:type="paragraph" w:customStyle="1" w:styleId="xl72">
    <w:name w:val="xl72"/>
    <w:basedOn w:val="Navaden"/>
    <w:rsid w:val="00214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16"/>
      <w:szCs w:val="16"/>
      <w:lang w:eastAsia="sl-SI"/>
    </w:rPr>
  </w:style>
  <w:style w:type="paragraph" w:customStyle="1" w:styleId="xl73">
    <w:name w:val="xl73"/>
    <w:basedOn w:val="Navaden"/>
    <w:rsid w:val="00214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000000"/>
      <w:sz w:val="16"/>
      <w:szCs w:val="16"/>
      <w:lang w:eastAsia="sl-SI"/>
    </w:rPr>
  </w:style>
  <w:style w:type="paragraph" w:customStyle="1" w:styleId="xl74">
    <w:name w:val="xl74"/>
    <w:basedOn w:val="Navaden"/>
    <w:rsid w:val="002148B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color w:val="000000"/>
      <w:sz w:val="20"/>
      <w:szCs w:val="20"/>
      <w:lang w:eastAsia="sl-SI"/>
    </w:rPr>
  </w:style>
  <w:style w:type="paragraph" w:customStyle="1" w:styleId="xl75">
    <w:name w:val="xl75"/>
    <w:basedOn w:val="Navaden"/>
    <w:rsid w:val="002148B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top"/>
    </w:pPr>
    <w:rPr>
      <w:rFonts w:ascii="Times New Roman" w:eastAsia="Times New Roman" w:hAnsi="Times New Roman"/>
      <w:sz w:val="20"/>
      <w:szCs w:val="20"/>
      <w:lang w:eastAsia="sl-SI"/>
    </w:rPr>
  </w:style>
  <w:style w:type="paragraph" w:customStyle="1" w:styleId="xl76">
    <w:name w:val="xl76"/>
    <w:basedOn w:val="Navaden"/>
    <w:rsid w:val="00214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b/>
      <w:bCs/>
      <w:color w:val="000000"/>
      <w:sz w:val="16"/>
      <w:szCs w:val="16"/>
      <w:lang w:eastAsia="sl-SI"/>
    </w:rPr>
  </w:style>
  <w:style w:type="paragraph" w:customStyle="1" w:styleId="xl77">
    <w:name w:val="xl77"/>
    <w:basedOn w:val="Navaden"/>
    <w:rsid w:val="002148B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b/>
      <w:bCs/>
      <w:color w:val="000000"/>
      <w:sz w:val="16"/>
      <w:szCs w:val="16"/>
      <w:lang w:eastAsia="sl-SI"/>
    </w:rPr>
  </w:style>
  <w:style w:type="paragraph" w:customStyle="1" w:styleId="xl78">
    <w:name w:val="xl78"/>
    <w:basedOn w:val="Navaden"/>
    <w:rsid w:val="002148B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b/>
      <w:bCs/>
      <w:color w:val="000000"/>
      <w:sz w:val="18"/>
      <w:szCs w:val="18"/>
      <w:lang w:eastAsia="sl-SI"/>
    </w:rPr>
  </w:style>
  <w:style w:type="paragraph" w:customStyle="1" w:styleId="xl79">
    <w:name w:val="xl79"/>
    <w:basedOn w:val="Navaden"/>
    <w:rsid w:val="002148B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Arial" w:eastAsia="Times New Roman" w:hAnsi="Arial" w:cs="Arial"/>
      <w:b/>
      <w:bCs/>
      <w:color w:val="000000"/>
      <w:sz w:val="18"/>
      <w:szCs w:val="18"/>
      <w:lang w:eastAsia="sl-SI"/>
    </w:rPr>
  </w:style>
  <w:style w:type="paragraph" w:customStyle="1" w:styleId="xl80">
    <w:name w:val="xl80"/>
    <w:basedOn w:val="Navaden"/>
    <w:rsid w:val="002148B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sl-SI"/>
    </w:rPr>
  </w:style>
  <w:style w:type="paragraph" w:customStyle="1" w:styleId="xl81">
    <w:name w:val="xl81"/>
    <w:basedOn w:val="Navaden"/>
    <w:rsid w:val="002148B4"/>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000000"/>
      <w:sz w:val="16"/>
      <w:szCs w:val="16"/>
      <w:lang w:eastAsia="sl-SI"/>
    </w:rPr>
  </w:style>
  <w:style w:type="paragraph" w:customStyle="1" w:styleId="xl82">
    <w:name w:val="xl82"/>
    <w:basedOn w:val="Navaden"/>
    <w:rsid w:val="002148B4"/>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000000"/>
      <w:sz w:val="16"/>
      <w:szCs w:val="16"/>
      <w:lang w:eastAsia="sl-SI"/>
    </w:rPr>
  </w:style>
  <w:style w:type="paragraph" w:customStyle="1" w:styleId="xl83">
    <w:name w:val="xl83"/>
    <w:basedOn w:val="Navaden"/>
    <w:rsid w:val="002148B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sl-SI"/>
    </w:rPr>
  </w:style>
  <w:style w:type="paragraph" w:customStyle="1" w:styleId="xl84">
    <w:name w:val="xl84"/>
    <w:basedOn w:val="Navaden"/>
    <w:rsid w:val="002148B4"/>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000000"/>
      <w:sz w:val="16"/>
      <w:szCs w:val="16"/>
      <w:lang w:eastAsia="sl-SI"/>
    </w:rPr>
  </w:style>
  <w:style w:type="paragraph" w:customStyle="1" w:styleId="xl85">
    <w:name w:val="xl85"/>
    <w:basedOn w:val="Navaden"/>
    <w:rsid w:val="002148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olor w:val="000000"/>
      <w:sz w:val="16"/>
      <w:szCs w:val="16"/>
      <w:lang w:eastAsia="sl-SI"/>
    </w:rPr>
  </w:style>
  <w:style w:type="paragraph" w:customStyle="1" w:styleId="xl86">
    <w:name w:val="xl86"/>
    <w:basedOn w:val="Navaden"/>
    <w:rsid w:val="002148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olor w:val="000000"/>
      <w:sz w:val="16"/>
      <w:szCs w:val="16"/>
      <w:lang w:eastAsia="sl-SI"/>
    </w:rPr>
  </w:style>
  <w:style w:type="paragraph" w:styleId="Glava">
    <w:name w:val="header"/>
    <w:basedOn w:val="Navaden"/>
    <w:link w:val="GlavaZnak"/>
    <w:unhideWhenUsed/>
    <w:rsid w:val="00513180"/>
    <w:pPr>
      <w:tabs>
        <w:tab w:val="center" w:pos="4536"/>
        <w:tab w:val="right" w:pos="9072"/>
      </w:tabs>
      <w:spacing w:after="0" w:line="240" w:lineRule="auto"/>
    </w:pPr>
  </w:style>
  <w:style w:type="character" w:customStyle="1" w:styleId="GlavaZnak">
    <w:name w:val="Glava Znak"/>
    <w:basedOn w:val="Privzetapisavaodstavka"/>
    <w:link w:val="Glava"/>
    <w:rsid w:val="00513180"/>
    <w:rPr>
      <w:rFonts w:ascii="Calibri" w:eastAsia="Calibri" w:hAnsi="Calibri" w:cs="Times New Roman"/>
    </w:rPr>
  </w:style>
  <w:style w:type="paragraph" w:styleId="Noga">
    <w:name w:val="footer"/>
    <w:basedOn w:val="Navaden"/>
    <w:link w:val="NogaZnak"/>
    <w:uiPriority w:val="99"/>
    <w:unhideWhenUsed/>
    <w:rsid w:val="00513180"/>
    <w:pPr>
      <w:tabs>
        <w:tab w:val="center" w:pos="4536"/>
        <w:tab w:val="right" w:pos="9072"/>
      </w:tabs>
      <w:spacing w:after="0" w:line="240" w:lineRule="auto"/>
    </w:pPr>
  </w:style>
  <w:style w:type="character" w:customStyle="1" w:styleId="NogaZnak">
    <w:name w:val="Noga Znak"/>
    <w:basedOn w:val="Privzetapisavaodstavka"/>
    <w:link w:val="Noga"/>
    <w:uiPriority w:val="99"/>
    <w:rsid w:val="00513180"/>
    <w:rPr>
      <w:rFonts w:ascii="Calibri" w:eastAsia="Calibri" w:hAnsi="Calibri" w:cs="Times New Roman"/>
    </w:rPr>
  </w:style>
  <w:style w:type="numbering" w:customStyle="1" w:styleId="Brezseznama1">
    <w:name w:val="Brez seznama1"/>
    <w:next w:val="Brezseznama"/>
    <w:uiPriority w:val="99"/>
    <w:semiHidden/>
    <w:unhideWhenUsed/>
    <w:rsid w:val="002265E5"/>
  </w:style>
  <w:style w:type="table" w:styleId="Tabelamrea">
    <w:name w:val="Table Grid"/>
    <w:basedOn w:val="Navadnatabela"/>
    <w:uiPriority w:val="59"/>
    <w:rsid w:val="002265E5"/>
    <w:pPr>
      <w:spacing w:after="0" w:line="240" w:lineRule="auto"/>
    </w:pPr>
    <w:rPr>
      <w:rFonts w:ascii="Calibri" w:eastAsia="Calibri" w:hAnsi="Calibri" w:cs="Times New Roman"/>
      <w:sz w:val="20"/>
      <w:szCs w:val="20"/>
      <w:lang w:eastAsia="sl-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87">
    <w:name w:val="xl87"/>
    <w:basedOn w:val="Navaden"/>
    <w:rsid w:val="002C70AA"/>
    <w:pPr>
      <w:pBdr>
        <w:bottom w:val="single" w:sz="8"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color w:val="000000"/>
      <w:sz w:val="16"/>
      <w:szCs w:val="16"/>
      <w:lang w:eastAsia="sl-SI"/>
    </w:rPr>
  </w:style>
  <w:style w:type="paragraph" w:customStyle="1" w:styleId="xl88">
    <w:name w:val="xl88"/>
    <w:basedOn w:val="Navaden"/>
    <w:rsid w:val="002C70AA"/>
    <w:pPr>
      <w:pBdr>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olor w:val="000000"/>
      <w:sz w:val="16"/>
      <w:szCs w:val="16"/>
      <w:lang w:eastAsia="sl-SI"/>
    </w:rPr>
  </w:style>
  <w:style w:type="paragraph" w:customStyle="1" w:styleId="xl89">
    <w:name w:val="xl89"/>
    <w:basedOn w:val="Navaden"/>
    <w:rsid w:val="002C70AA"/>
    <w:pPr>
      <w:pBdr>
        <w:bottom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olor w:val="000000"/>
      <w:sz w:val="16"/>
      <w:szCs w:val="16"/>
      <w:lang w:eastAsia="sl-SI"/>
    </w:rPr>
  </w:style>
  <w:style w:type="paragraph" w:customStyle="1" w:styleId="xl90">
    <w:name w:val="xl90"/>
    <w:basedOn w:val="Navaden"/>
    <w:rsid w:val="002C70AA"/>
    <w:pPr>
      <w:pBdr>
        <w:bottom w:val="single" w:sz="8" w:space="0" w:color="auto"/>
        <w:right w:val="single" w:sz="8"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olor w:val="000000"/>
      <w:sz w:val="16"/>
      <w:szCs w:val="16"/>
      <w:lang w:eastAsia="sl-SI"/>
    </w:rPr>
  </w:style>
  <w:style w:type="paragraph" w:customStyle="1" w:styleId="xl91">
    <w:name w:val="xl91"/>
    <w:basedOn w:val="Navaden"/>
    <w:rsid w:val="002C70AA"/>
    <w:pPr>
      <w:pBdr>
        <w:bottom w:val="single" w:sz="8" w:space="0" w:color="auto"/>
        <w:right w:val="single" w:sz="8" w:space="0" w:color="auto"/>
      </w:pBdr>
      <w:shd w:val="clear" w:color="000000" w:fill="FFC000"/>
      <w:spacing w:before="100" w:beforeAutospacing="1" w:after="100" w:afterAutospacing="1" w:line="240" w:lineRule="auto"/>
      <w:jc w:val="right"/>
      <w:textAlignment w:val="center"/>
    </w:pPr>
    <w:rPr>
      <w:rFonts w:ascii="Times New Roman" w:eastAsia="Times New Roman" w:hAnsi="Times New Roman"/>
      <w:color w:val="000000"/>
      <w:sz w:val="16"/>
      <w:szCs w:val="16"/>
      <w:lang w:eastAsia="sl-SI"/>
    </w:rPr>
  </w:style>
  <w:style w:type="paragraph" w:customStyle="1" w:styleId="xl92">
    <w:name w:val="xl92"/>
    <w:basedOn w:val="Navaden"/>
    <w:rsid w:val="002C70AA"/>
    <w:pPr>
      <w:pBdr>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olor w:val="000000"/>
      <w:sz w:val="16"/>
      <w:szCs w:val="16"/>
      <w:lang w:eastAsia="sl-SI"/>
    </w:rPr>
  </w:style>
  <w:style w:type="paragraph" w:customStyle="1" w:styleId="xl93">
    <w:name w:val="xl93"/>
    <w:basedOn w:val="Navaden"/>
    <w:rsid w:val="002C70AA"/>
    <w:pPr>
      <w:pBdr>
        <w:bottom w:val="single" w:sz="8" w:space="0" w:color="auto"/>
        <w:right w:val="single" w:sz="8" w:space="0" w:color="auto"/>
      </w:pBdr>
      <w:shd w:val="clear" w:color="000000" w:fill="FF0000"/>
      <w:spacing w:before="100" w:beforeAutospacing="1" w:after="100" w:afterAutospacing="1" w:line="240" w:lineRule="auto"/>
      <w:jc w:val="right"/>
      <w:textAlignment w:val="center"/>
    </w:pPr>
    <w:rPr>
      <w:rFonts w:ascii="Times New Roman" w:eastAsia="Times New Roman" w:hAnsi="Times New Roman"/>
      <w:color w:val="000000"/>
      <w:sz w:val="16"/>
      <w:szCs w:val="16"/>
      <w:lang w:eastAsia="sl-SI"/>
    </w:rPr>
  </w:style>
  <w:style w:type="numbering" w:customStyle="1" w:styleId="Brezseznama2">
    <w:name w:val="Brez seznama2"/>
    <w:next w:val="Brezseznama"/>
    <w:uiPriority w:val="99"/>
    <w:semiHidden/>
    <w:unhideWhenUsed/>
    <w:rsid w:val="000E5DA7"/>
  </w:style>
  <w:style w:type="numbering" w:customStyle="1" w:styleId="Brezseznama11">
    <w:name w:val="Brez seznama11"/>
    <w:next w:val="Brezseznama"/>
    <w:uiPriority w:val="99"/>
    <w:semiHidden/>
    <w:unhideWhenUsed/>
    <w:rsid w:val="000E5DA7"/>
  </w:style>
  <w:style w:type="table" w:customStyle="1" w:styleId="Tabelamrea1">
    <w:name w:val="Tabela – mreža1"/>
    <w:basedOn w:val="Navadnatabela"/>
    <w:next w:val="Tabelamrea"/>
    <w:uiPriority w:val="59"/>
    <w:rsid w:val="000E5DA7"/>
    <w:pPr>
      <w:spacing w:after="0" w:line="240" w:lineRule="auto"/>
    </w:pPr>
    <w:rPr>
      <w:rFonts w:ascii="Calibri" w:eastAsia="Calibri" w:hAnsi="Calibri" w:cs="Times New Roman"/>
      <w:sz w:val="20"/>
      <w:szCs w:val="20"/>
      <w:lang w:eastAsia="sl-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rezseznama3">
    <w:name w:val="Brez seznama3"/>
    <w:next w:val="Brezseznama"/>
    <w:uiPriority w:val="99"/>
    <w:semiHidden/>
    <w:unhideWhenUsed/>
    <w:rsid w:val="00193E5B"/>
  </w:style>
  <w:style w:type="numbering" w:customStyle="1" w:styleId="Brezseznama12">
    <w:name w:val="Brez seznama12"/>
    <w:next w:val="Brezseznama"/>
    <w:uiPriority w:val="99"/>
    <w:semiHidden/>
    <w:unhideWhenUsed/>
    <w:rsid w:val="00193E5B"/>
  </w:style>
  <w:style w:type="table" w:customStyle="1" w:styleId="Tabelamrea2">
    <w:name w:val="Tabela – mreža2"/>
    <w:basedOn w:val="Navadnatabela"/>
    <w:next w:val="Tabelamrea"/>
    <w:uiPriority w:val="59"/>
    <w:rsid w:val="00193E5B"/>
    <w:pPr>
      <w:spacing w:after="0" w:line="240" w:lineRule="auto"/>
    </w:pPr>
    <w:rPr>
      <w:rFonts w:ascii="Calibri" w:eastAsia="Calibri" w:hAnsi="Calibri" w:cs="Times New Roman"/>
      <w:sz w:val="20"/>
      <w:szCs w:val="20"/>
      <w:lang w:eastAsia="sl-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Navaden"/>
    <w:rsid w:val="00193E5B"/>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xl64">
    <w:name w:val="xl64"/>
    <w:basedOn w:val="Navaden"/>
    <w:rsid w:val="00193E5B"/>
    <w:pPr>
      <w:spacing w:before="100" w:beforeAutospacing="1" w:after="100" w:afterAutospacing="1" w:line="240" w:lineRule="auto"/>
    </w:pPr>
    <w:rPr>
      <w:rFonts w:ascii="Times New Roman" w:eastAsia="Times New Roman" w:hAnsi="Times New Roman"/>
      <w:b/>
      <w:bCs/>
      <w:sz w:val="24"/>
      <w:szCs w:val="24"/>
      <w:lang w:eastAsia="sl-SI"/>
    </w:rPr>
  </w:style>
  <w:style w:type="character" w:styleId="Krepko">
    <w:name w:val="Strong"/>
    <w:basedOn w:val="Privzetapisavaodstavka"/>
    <w:uiPriority w:val="22"/>
    <w:qFormat/>
    <w:rsid w:val="00DF6183"/>
    <w:rPr>
      <w:b/>
      <w:bCs/>
    </w:rPr>
  </w:style>
  <w:style w:type="paragraph" w:styleId="Brezrazmikov">
    <w:name w:val="No Spacing"/>
    <w:uiPriority w:val="1"/>
    <w:qFormat/>
    <w:rsid w:val="0073089F"/>
    <w:pPr>
      <w:spacing w:after="0" w:line="240" w:lineRule="auto"/>
    </w:pPr>
    <w:rPr>
      <w:rFonts w:ascii="Calibri" w:eastAsia="Calibri" w:hAnsi="Calibri" w:cs="Times New Roman"/>
    </w:rPr>
  </w:style>
  <w:style w:type="paragraph" w:styleId="Sprotnaopomba-besedilo">
    <w:name w:val="footnote text"/>
    <w:basedOn w:val="Navaden"/>
    <w:link w:val="Sprotnaopomba-besediloZnak"/>
    <w:uiPriority w:val="99"/>
    <w:semiHidden/>
    <w:unhideWhenUsed/>
    <w:rsid w:val="0004736F"/>
    <w:rPr>
      <w:sz w:val="20"/>
      <w:szCs w:val="20"/>
    </w:rPr>
  </w:style>
  <w:style w:type="character" w:customStyle="1" w:styleId="Sprotnaopomba-besediloZnak">
    <w:name w:val="Sprotna opomba - besedilo Znak"/>
    <w:basedOn w:val="Privzetapisavaodstavka"/>
    <w:link w:val="Sprotnaopomba-besedilo"/>
    <w:uiPriority w:val="99"/>
    <w:semiHidden/>
    <w:rsid w:val="0004736F"/>
    <w:rPr>
      <w:rFonts w:ascii="Calibri" w:eastAsia="Calibri" w:hAnsi="Calibri" w:cs="Times New Roman"/>
      <w:sz w:val="20"/>
      <w:szCs w:val="20"/>
    </w:rPr>
  </w:style>
  <w:style w:type="character" w:styleId="Sprotnaopomba-sklic">
    <w:name w:val="footnote reference"/>
    <w:uiPriority w:val="99"/>
    <w:semiHidden/>
    <w:unhideWhenUsed/>
    <w:rsid w:val="0004736F"/>
    <w:rPr>
      <w:vertAlign w:val="superscript"/>
    </w:rPr>
  </w:style>
  <w:style w:type="paragraph" w:customStyle="1" w:styleId="odstavek1">
    <w:name w:val="odstavek1"/>
    <w:basedOn w:val="Navaden"/>
    <w:rsid w:val="00803BB1"/>
    <w:pPr>
      <w:spacing w:before="240" w:after="0" w:line="240" w:lineRule="auto"/>
      <w:ind w:firstLine="1021"/>
      <w:jc w:val="both"/>
    </w:pPr>
    <w:rPr>
      <w:rFonts w:ascii="Arial" w:eastAsia="Times New Roman" w:hAnsi="Arial" w:cs="Arial"/>
      <w:lang w:eastAsia="sl-SI"/>
    </w:rPr>
  </w:style>
  <w:style w:type="paragraph" w:customStyle="1" w:styleId="alineazaodstavkom1">
    <w:name w:val="alineazaodstavkom1"/>
    <w:basedOn w:val="Navaden"/>
    <w:rsid w:val="00803BB1"/>
    <w:pPr>
      <w:spacing w:after="0" w:line="240" w:lineRule="auto"/>
      <w:ind w:left="425" w:hanging="425"/>
      <w:jc w:val="both"/>
    </w:pPr>
    <w:rPr>
      <w:rFonts w:ascii="Arial" w:eastAsia="Times New Roman" w:hAnsi="Arial" w:cs="Arial"/>
      <w:lang w:eastAsia="sl-SI"/>
    </w:rPr>
  </w:style>
  <w:style w:type="paragraph" w:customStyle="1" w:styleId="Text1">
    <w:name w:val="Text 1"/>
    <w:basedOn w:val="Navaden"/>
    <w:rsid w:val="006B6FC6"/>
    <w:pPr>
      <w:spacing w:before="120" w:after="120" w:line="240" w:lineRule="auto"/>
      <w:ind w:left="850"/>
      <w:jc w:val="both"/>
    </w:pPr>
    <w:rPr>
      <w:rFonts w:ascii="Times New Roman" w:eastAsia="Times New Roman" w:hAnsi="Times New Roman"/>
      <w:sz w:val="24"/>
      <w:lang w:eastAsia="sl-SI" w:bidi="sl-SI"/>
    </w:rPr>
  </w:style>
  <w:style w:type="paragraph" w:customStyle="1" w:styleId="Navaden1">
    <w:name w:val="Navaden1"/>
    <w:basedOn w:val="Navaden"/>
    <w:rsid w:val="0029731A"/>
    <w:pPr>
      <w:spacing w:before="100" w:beforeAutospacing="1" w:after="100" w:afterAutospacing="1" w:line="240" w:lineRule="auto"/>
    </w:pPr>
    <w:rPr>
      <w:rFonts w:ascii="Times New Roman" w:eastAsia="Times New Roman" w:hAnsi="Times New Roman"/>
      <w:sz w:val="24"/>
      <w:szCs w:val="24"/>
      <w:lang w:eastAsia="sl-SI"/>
    </w:rPr>
  </w:style>
  <w:style w:type="character" w:customStyle="1" w:styleId="highlight">
    <w:name w:val="highlight"/>
    <w:basedOn w:val="Privzetapisavaodstavka"/>
    <w:rsid w:val="0089324F"/>
  </w:style>
  <w:style w:type="paragraph" w:customStyle="1" w:styleId="Neotevilenodstavek">
    <w:name w:val="Neoštevilčen odstavek"/>
    <w:basedOn w:val="Navaden"/>
    <w:link w:val="NeotevilenodstavekZnak"/>
    <w:qFormat/>
    <w:rsid w:val="005E229E"/>
    <w:pPr>
      <w:overflowPunct w:val="0"/>
      <w:autoSpaceDE w:val="0"/>
      <w:autoSpaceDN w:val="0"/>
      <w:adjustRightInd w:val="0"/>
      <w:spacing w:before="60" w:after="60" w:line="200" w:lineRule="exact"/>
      <w:jc w:val="both"/>
      <w:textAlignment w:val="baseline"/>
    </w:pPr>
    <w:rPr>
      <w:rFonts w:ascii="Arial" w:eastAsia="Times New Roman" w:hAnsi="Arial" w:cs="Arial"/>
      <w:lang w:eastAsia="sl-SI"/>
    </w:rPr>
  </w:style>
  <w:style w:type="character" w:customStyle="1" w:styleId="NeotevilenodstavekZnak">
    <w:name w:val="Neoštevilčen odstavek Znak"/>
    <w:link w:val="Neotevilenodstavek"/>
    <w:rsid w:val="005E229E"/>
    <w:rPr>
      <w:rFonts w:ascii="Arial" w:eastAsia="Times New Roman" w:hAnsi="Arial" w:cs="Arial"/>
      <w:lang w:eastAsia="sl-SI"/>
    </w:rPr>
  </w:style>
  <w:style w:type="paragraph" w:customStyle="1" w:styleId="Default">
    <w:name w:val="Default"/>
    <w:rsid w:val="00F724A9"/>
    <w:pPr>
      <w:autoSpaceDE w:val="0"/>
      <w:autoSpaceDN w:val="0"/>
      <w:adjustRightInd w:val="0"/>
      <w:spacing w:after="0" w:line="240" w:lineRule="auto"/>
    </w:pPr>
    <w:rPr>
      <w:rFonts w:ascii="Times New Roman" w:eastAsia="Calibri" w:hAnsi="Times New Roman" w:cs="Times New Roman"/>
      <w:color w:val="000000"/>
      <w:sz w:val="24"/>
      <w:szCs w:val="24"/>
      <w:lang w:eastAsia="sl-SI"/>
    </w:rPr>
  </w:style>
  <w:style w:type="paragraph" w:styleId="Telobesedila">
    <w:name w:val="Body Text"/>
    <w:basedOn w:val="Navaden"/>
    <w:link w:val="TelobesedilaZnak"/>
    <w:uiPriority w:val="99"/>
    <w:unhideWhenUsed/>
    <w:qFormat/>
    <w:rsid w:val="00F724A9"/>
    <w:pPr>
      <w:spacing w:after="160" w:line="240" w:lineRule="auto"/>
      <w:jc w:val="both"/>
    </w:pPr>
    <w:rPr>
      <w:rFonts w:ascii="Georgia" w:eastAsia="Georgia" w:hAnsi="Georgia"/>
      <w:sz w:val="20"/>
      <w:szCs w:val="20"/>
    </w:rPr>
  </w:style>
  <w:style w:type="character" w:customStyle="1" w:styleId="TelobesedilaZnak">
    <w:name w:val="Telo besedila Znak"/>
    <w:basedOn w:val="Privzetapisavaodstavka"/>
    <w:link w:val="Telobesedila"/>
    <w:uiPriority w:val="99"/>
    <w:rsid w:val="00F724A9"/>
    <w:rPr>
      <w:rFonts w:ascii="Georgia" w:eastAsia="Georgia" w:hAnsi="Georgi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20632">
      <w:bodyDiv w:val="1"/>
      <w:marLeft w:val="0"/>
      <w:marRight w:val="0"/>
      <w:marTop w:val="0"/>
      <w:marBottom w:val="0"/>
      <w:divBdr>
        <w:top w:val="none" w:sz="0" w:space="0" w:color="auto"/>
        <w:left w:val="none" w:sz="0" w:space="0" w:color="auto"/>
        <w:bottom w:val="none" w:sz="0" w:space="0" w:color="auto"/>
        <w:right w:val="none" w:sz="0" w:space="0" w:color="auto"/>
      </w:divBdr>
    </w:div>
    <w:div w:id="18824518">
      <w:bodyDiv w:val="1"/>
      <w:marLeft w:val="0"/>
      <w:marRight w:val="0"/>
      <w:marTop w:val="0"/>
      <w:marBottom w:val="0"/>
      <w:divBdr>
        <w:top w:val="none" w:sz="0" w:space="0" w:color="auto"/>
        <w:left w:val="none" w:sz="0" w:space="0" w:color="auto"/>
        <w:bottom w:val="none" w:sz="0" w:space="0" w:color="auto"/>
        <w:right w:val="none" w:sz="0" w:space="0" w:color="auto"/>
      </w:divBdr>
    </w:div>
    <w:div w:id="24526762">
      <w:bodyDiv w:val="1"/>
      <w:marLeft w:val="0"/>
      <w:marRight w:val="0"/>
      <w:marTop w:val="0"/>
      <w:marBottom w:val="0"/>
      <w:divBdr>
        <w:top w:val="none" w:sz="0" w:space="0" w:color="auto"/>
        <w:left w:val="none" w:sz="0" w:space="0" w:color="auto"/>
        <w:bottom w:val="none" w:sz="0" w:space="0" w:color="auto"/>
        <w:right w:val="none" w:sz="0" w:space="0" w:color="auto"/>
      </w:divBdr>
    </w:div>
    <w:div w:id="28067496">
      <w:bodyDiv w:val="1"/>
      <w:marLeft w:val="0"/>
      <w:marRight w:val="0"/>
      <w:marTop w:val="0"/>
      <w:marBottom w:val="0"/>
      <w:divBdr>
        <w:top w:val="none" w:sz="0" w:space="0" w:color="auto"/>
        <w:left w:val="none" w:sz="0" w:space="0" w:color="auto"/>
        <w:bottom w:val="none" w:sz="0" w:space="0" w:color="auto"/>
        <w:right w:val="none" w:sz="0" w:space="0" w:color="auto"/>
      </w:divBdr>
    </w:div>
    <w:div w:id="61831791">
      <w:bodyDiv w:val="1"/>
      <w:marLeft w:val="0"/>
      <w:marRight w:val="0"/>
      <w:marTop w:val="0"/>
      <w:marBottom w:val="0"/>
      <w:divBdr>
        <w:top w:val="none" w:sz="0" w:space="0" w:color="auto"/>
        <w:left w:val="none" w:sz="0" w:space="0" w:color="auto"/>
        <w:bottom w:val="none" w:sz="0" w:space="0" w:color="auto"/>
        <w:right w:val="none" w:sz="0" w:space="0" w:color="auto"/>
      </w:divBdr>
    </w:div>
    <w:div w:id="66730204">
      <w:bodyDiv w:val="1"/>
      <w:marLeft w:val="0"/>
      <w:marRight w:val="0"/>
      <w:marTop w:val="0"/>
      <w:marBottom w:val="0"/>
      <w:divBdr>
        <w:top w:val="none" w:sz="0" w:space="0" w:color="auto"/>
        <w:left w:val="none" w:sz="0" w:space="0" w:color="auto"/>
        <w:bottom w:val="none" w:sz="0" w:space="0" w:color="auto"/>
        <w:right w:val="none" w:sz="0" w:space="0" w:color="auto"/>
      </w:divBdr>
    </w:div>
    <w:div w:id="81530457">
      <w:bodyDiv w:val="1"/>
      <w:marLeft w:val="0"/>
      <w:marRight w:val="0"/>
      <w:marTop w:val="0"/>
      <w:marBottom w:val="0"/>
      <w:divBdr>
        <w:top w:val="none" w:sz="0" w:space="0" w:color="auto"/>
        <w:left w:val="none" w:sz="0" w:space="0" w:color="auto"/>
        <w:bottom w:val="none" w:sz="0" w:space="0" w:color="auto"/>
        <w:right w:val="none" w:sz="0" w:space="0" w:color="auto"/>
      </w:divBdr>
    </w:div>
    <w:div w:id="135144613">
      <w:bodyDiv w:val="1"/>
      <w:marLeft w:val="0"/>
      <w:marRight w:val="0"/>
      <w:marTop w:val="0"/>
      <w:marBottom w:val="0"/>
      <w:divBdr>
        <w:top w:val="none" w:sz="0" w:space="0" w:color="auto"/>
        <w:left w:val="none" w:sz="0" w:space="0" w:color="auto"/>
        <w:bottom w:val="none" w:sz="0" w:space="0" w:color="auto"/>
        <w:right w:val="none" w:sz="0" w:space="0" w:color="auto"/>
      </w:divBdr>
    </w:div>
    <w:div w:id="136381486">
      <w:bodyDiv w:val="1"/>
      <w:marLeft w:val="0"/>
      <w:marRight w:val="0"/>
      <w:marTop w:val="0"/>
      <w:marBottom w:val="0"/>
      <w:divBdr>
        <w:top w:val="none" w:sz="0" w:space="0" w:color="auto"/>
        <w:left w:val="none" w:sz="0" w:space="0" w:color="auto"/>
        <w:bottom w:val="none" w:sz="0" w:space="0" w:color="auto"/>
        <w:right w:val="none" w:sz="0" w:space="0" w:color="auto"/>
      </w:divBdr>
    </w:div>
    <w:div w:id="148250744">
      <w:bodyDiv w:val="1"/>
      <w:marLeft w:val="0"/>
      <w:marRight w:val="0"/>
      <w:marTop w:val="0"/>
      <w:marBottom w:val="0"/>
      <w:divBdr>
        <w:top w:val="none" w:sz="0" w:space="0" w:color="auto"/>
        <w:left w:val="none" w:sz="0" w:space="0" w:color="auto"/>
        <w:bottom w:val="none" w:sz="0" w:space="0" w:color="auto"/>
        <w:right w:val="none" w:sz="0" w:space="0" w:color="auto"/>
      </w:divBdr>
    </w:div>
    <w:div w:id="221141806">
      <w:bodyDiv w:val="1"/>
      <w:marLeft w:val="0"/>
      <w:marRight w:val="0"/>
      <w:marTop w:val="0"/>
      <w:marBottom w:val="0"/>
      <w:divBdr>
        <w:top w:val="none" w:sz="0" w:space="0" w:color="auto"/>
        <w:left w:val="none" w:sz="0" w:space="0" w:color="auto"/>
        <w:bottom w:val="none" w:sz="0" w:space="0" w:color="auto"/>
        <w:right w:val="none" w:sz="0" w:space="0" w:color="auto"/>
      </w:divBdr>
    </w:div>
    <w:div w:id="224264951">
      <w:bodyDiv w:val="1"/>
      <w:marLeft w:val="0"/>
      <w:marRight w:val="0"/>
      <w:marTop w:val="0"/>
      <w:marBottom w:val="0"/>
      <w:divBdr>
        <w:top w:val="none" w:sz="0" w:space="0" w:color="auto"/>
        <w:left w:val="none" w:sz="0" w:space="0" w:color="auto"/>
        <w:bottom w:val="none" w:sz="0" w:space="0" w:color="auto"/>
        <w:right w:val="none" w:sz="0" w:space="0" w:color="auto"/>
      </w:divBdr>
    </w:div>
    <w:div w:id="233662895">
      <w:bodyDiv w:val="1"/>
      <w:marLeft w:val="0"/>
      <w:marRight w:val="0"/>
      <w:marTop w:val="0"/>
      <w:marBottom w:val="0"/>
      <w:divBdr>
        <w:top w:val="none" w:sz="0" w:space="0" w:color="auto"/>
        <w:left w:val="none" w:sz="0" w:space="0" w:color="auto"/>
        <w:bottom w:val="none" w:sz="0" w:space="0" w:color="auto"/>
        <w:right w:val="none" w:sz="0" w:space="0" w:color="auto"/>
      </w:divBdr>
    </w:div>
    <w:div w:id="295138786">
      <w:bodyDiv w:val="1"/>
      <w:marLeft w:val="0"/>
      <w:marRight w:val="0"/>
      <w:marTop w:val="0"/>
      <w:marBottom w:val="0"/>
      <w:divBdr>
        <w:top w:val="none" w:sz="0" w:space="0" w:color="auto"/>
        <w:left w:val="none" w:sz="0" w:space="0" w:color="auto"/>
        <w:bottom w:val="none" w:sz="0" w:space="0" w:color="auto"/>
        <w:right w:val="none" w:sz="0" w:space="0" w:color="auto"/>
      </w:divBdr>
    </w:div>
    <w:div w:id="308755438">
      <w:bodyDiv w:val="1"/>
      <w:marLeft w:val="0"/>
      <w:marRight w:val="0"/>
      <w:marTop w:val="0"/>
      <w:marBottom w:val="0"/>
      <w:divBdr>
        <w:top w:val="none" w:sz="0" w:space="0" w:color="auto"/>
        <w:left w:val="none" w:sz="0" w:space="0" w:color="auto"/>
        <w:bottom w:val="none" w:sz="0" w:space="0" w:color="auto"/>
        <w:right w:val="none" w:sz="0" w:space="0" w:color="auto"/>
      </w:divBdr>
    </w:div>
    <w:div w:id="396710203">
      <w:bodyDiv w:val="1"/>
      <w:marLeft w:val="0"/>
      <w:marRight w:val="0"/>
      <w:marTop w:val="0"/>
      <w:marBottom w:val="0"/>
      <w:divBdr>
        <w:top w:val="none" w:sz="0" w:space="0" w:color="auto"/>
        <w:left w:val="none" w:sz="0" w:space="0" w:color="auto"/>
        <w:bottom w:val="none" w:sz="0" w:space="0" w:color="auto"/>
        <w:right w:val="none" w:sz="0" w:space="0" w:color="auto"/>
      </w:divBdr>
    </w:div>
    <w:div w:id="400754889">
      <w:bodyDiv w:val="1"/>
      <w:marLeft w:val="0"/>
      <w:marRight w:val="0"/>
      <w:marTop w:val="0"/>
      <w:marBottom w:val="0"/>
      <w:divBdr>
        <w:top w:val="none" w:sz="0" w:space="0" w:color="auto"/>
        <w:left w:val="none" w:sz="0" w:space="0" w:color="auto"/>
        <w:bottom w:val="none" w:sz="0" w:space="0" w:color="auto"/>
        <w:right w:val="none" w:sz="0" w:space="0" w:color="auto"/>
      </w:divBdr>
    </w:div>
    <w:div w:id="428939409">
      <w:bodyDiv w:val="1"/>
      <w:marLeft w:val="0"/>
      <w:marRight w:val="0"/>
      <w:marTop w:val="0"/>
      <w:marBottom w:val="0"/>
      <w:divBdr>
        <w:top w:val="none" w:sz="0" w:space="0" w:color="auto"/>
        <w:left w:val="none" w:sz="0" w:space="0" w:color="auto"/>
        <w:bottom w:val="none" w:sz="0" w:space="0" w:color="auto"/>
        <w:right w:val="none" w:sz="0" w:space="0" w:color="auto"/>
      </w:divBdr>
    </w:div>
    <w:div w:id="432210152">
      <w:bodyDiv w:val="1"/>
      <w:marLeft w:val="0"/>
      <w:marRight w:val="0"/>
      <w:marTop w:val="0"/>
      <w:marBottom w:val="0"/>
      <w:divBdr>
        <w:top w:val="none" w:sz="0" w:space="0" w:color="auto"/>
        <w:left w:val="none" w:sz="0" w:space="0" w:color="auto"/>
        <w:bottom w:val="none" w:sz="0" w:space="0" w:color="auto"/>
        <w:right w:val="none" w:sz="0" w:space="0" w:color="auto"/>
      </w:divBdr>
    </w:div>
    <w:div w:id="465708708">
      <w:bodyDiv w:val="1"/>
      <w:marLeft w:val="0"/>
      <w:marRight w:val="0"/>
      <w:marTop w:val="0"/>
      <w:marBottom w:val="0"/>
      <w:divBdr>
        <w:top w:val="none" w:sz="0" w:space="0" w:color="auto"/>
        <w:left w:val="none" w:sz="0" w:space="0" w:color="auto"/>
        <w:bottom w:val="none" w:sz="0" w:space="0" w:color="auto"/>
        <w:right w:val="none" w:sz="0" w:space="0" w:color="auto"/>
      </w:divBdr>
    </w:div>
    <w:div w:id="507789574">
      <w:bodyDiv w:val="1"/>
      <w:marLeft w:val="0"/>
      <w:marRight w:val="0"/>
      <w:marTop w:val="0"/>
      <w:marBottom w:val="0"/>
      <w:divBdr>
        <w:top w:val="none" w:sz="0" w:space="0" w:color="auto"/>
        <w:left w:val="none" w:sz="0" w:space="0" w:color="auto"/>
        <w:bottom w:val="none" w:sz="0" w:space="0" w:color="auto"/>
        <w:right w:val="none" w:sz="0" w:space="0" w:color="auto"/>
      </w:divBdr>
    </w:div>
    <w:div w:id="536161200">
      <w:bodyDiv w:val="1"/>
      <w:marLeft w:val="0"/>
      <w:marRight w:val="0"/>
      <w:marTop w:val="0"/>
      <w:marBottom w:val="0"/>
      <w:divBdr>
        <w:top w:val="none" w:sz="0" w:space="0" w:color="auto"/>
        <w:left w:val="none" w:sz="0" w:space="0" w:color="auto"/>
        <w:bottom w:val="none" w:sz="0" w:space="0" w:color="auto"/>
        <w:right w:val="none" w:sz="0" w:space="0" w:color="auto"/>
      </w:divBdr>
    </w:div>
    <w:div w:id="549801176">
      <w:bodyDiv w:val="1"/>
      <w:marLeft w:val="0"/>
      <w:marRight w:val="0"/>
      <w:marTop w:val="0"/>
      <w:marBottom w:val="0"/>
      <w:divBdr>
        <w:top w:val="none" w:sz="0" w:space="0" w:color="auto"/>
        <w:left w:val="none" w:sz="0" w:space="0" w:color="auto"/>
        <w:bottom w:val="none" w:sz="0" w:space="0" w:color="auto"/>
        <w:right w:val="none" w:sz="0" w:space="0" w:color="auto"/>
      </w:divBdr>
    </w:div>
    <w:div w:id="609438836">
      <w:bodyDiv w:val="1"/>
      <w:marLeft w:val="0"/>
      <w:marRight w:val="0"/>
      <w:marTop w:val="0"/>
      <w:marBottom w:val="0"/>
      <w:divBdr>
        <w:top w:val="none" w:sz="0" w:space="0" w:color="auto"/>
        <w:left w:val="none" w:sz="0" w:space="0" w:color="auto"/>
        <w:bottom w:val="none" w:sz="0" w:space="0" w:color="auto"/>
        <w:right w:val="none" w:sz="0" w:space="0" w:color="auto"/>
      </w:divBdr>
      <w:divsChild>
        <w:div w:id="585726608">
          <w:marLeft w:val="0"/>
          <w:marRight w:val="0"/>
          <w:marTop w:val="0"/>
          <w:marBottom w:val="0"/>
          <w:divBdr>
            <w:top w:val="none" w:sz="0" w:space="0" w:color="auto"/>
            <w:left w:val="none" w:sz="0" w:space="0" w:color="auto"/>
            <w:bottom w:val="none" w:sz="0" w:space="0" w:color="auto"/>
            <w:right w:val="none" w:sz="0" w:space="0" w:color="auto"/>
          </w:divBdr>
        </w:div>
        <w:div w:id="439036136">
          <w:marLeft w:val="0"/>
          <w:marRight w:val="0"/>
          <w:marTop w:val="0"/>
          <w:marBottom w:val="0"/>
          <w:divBdr>
            <w:top w:val="none" w:sz="0" w:space="0" w:color="auto"/>
            <w:left w:val="none" w:sz="0" w:space="0" w:color="auto"/>
            <w:bottom w:val="none" w:sz="0" w:space="0" w:color="auto"/>
            <w:right w:val="none" w:sz="0" w:space="0" w:color="auto"/>
          </w:divBdr>
        </w:div>
        <w:div w:id="1906062934">
          <w:marLeft w:val="0"/>
          <w:marRight w:val="0"/>
          <w:marTop w:val="0"/>
          <w:marBottom w:val="0"/>
          <w:divBdr>
            <w:top w:val="none" w:sz="0" w:space="0" w:color="auto"/>
            <w:left w:val="none" w:sz="0" w:space="0" w:color="auto"/>
            <w:bottom w:val="none" w:sz="0" w:space="0" w:color="auto"/>
            <w:right w:val="none" w:sz="0" w:space="0" w:color="auto"/>
          </w:divBdr>
        </w:div>
        <w:div w:id="212153752">
          <w:marLeft w:val="0"/>
          <w:marRight w:val="0"/>
          <w:marTop w:val="0"/>
          <w:marBottom w:val="0"/>
          <w:divBdr>
            <w:top w:val="none" w:sz="0" w:space="0" w:color="auto"/>
            <w:left w:val="none" w:sz="0" w:space="0" w:color="auto"/>
            <w:bottom w:val="none" w:sz="0" w:space="0" w:color="auto"/>
            <w:right w:val="none" w:sz="0" w:space="0" w:color="auto"/>
          </w:divBdr>
        </w:div>
        <w:div w:id="265504067">
          <w:marLeft w:val="0"/>
          <w:marRight w:val="0"/>
          <w:marTop w:val="0"/>
          <w:marBottom w:val="0"/>
          <w:divBdr>
            <w:top w:val="none" w:sz="0" w:space="0" w:color="auto"/>
            <w:left w:val="none" w:sz="0" w:space="0" w:color="auto"/>
            <w:bottom w:val="none" w:sz="0" w:space="0" w:color="auto"/>
            <w:right w:val="none" w:sz="0" w:space="0" w:color="auto"/>
          </w:divBdr>
        </w:div>
        <w:div w:id="920607011">
          <w:marLeft w:val="0"/>
          <w:marRight w:val="0"/>
          <w:marTop w:val="0"/>
          <w:marBottom w:val="0"/>
          <w:divBdr>
            <w:top w:val="none" w:sz="0" w:space="0" w:color="auto"/>
            <w:left w:val="none" w:sz="0" w:space="0" w:color="auto"/>
            <w:bottom w:val="none" w:sz="0" w:space="0" w:color="auto"/>
            <w:right w:val="none" w:sz="0" w:space="0" w:color="auto"/>
          </w:divBdr>
        </w:div>
        <w:div w:id="898829569">
          <w:marLeft w:val="0"/>
          <w:marRight w:val="0"/>
          <w:marTop w:val="0"/>
          <w:marBottom w:val="0"/>
          <w:divBdr>
            <w:top w:val="none" w:sz="0" w:space="0" w:color="auto"/>
            <w:left w:val="none" w:sz="0" w:space="0" w:color="auto"/>
            <w:bottom w:val="none" w:sz="0" w:space="0" w:color="auto"/>
            <w:right w:val="none" w:sz="0" w:space="0" w:color="auto"/>
          </w:divBdr>
        </w:div>
        <w:div w:id="1624918957">
          <w:marLeft w:val="0"/>
          <w:marRight w:val="0"/>
          <w:marTop w:val="0"/>
          <w:marBottom w:val="0"/>
          <w:divBdr>
            <w:top w:val="none" w:sz="0" w:space="0" w:color="auto"/>
            <w:left w:val="none" w:sz="0" w:space="0" w:color="auto"/>
            <w:bottom w:val="none" w:sz="0" w:space="0" w:color="auto"/>
            <w:right w:val="none" w:sz="0" w:space="0" w:color="auto"/>
          </w:divBdr>
        </w:div>
        <w:div w:id="927007199">
          <w:marLeft w:val="0"/>
          <w:marRight w:val="0"/>
          <w:marTop w:val="0"/>
          <w:marBottom w:val="0"/>
          <w:divBdr>
            <w:top w:val="none" w:sz="0" w:space="0" w:color="auto"/>
            <w:left w:val="none" w:sz="0" w:space="0" w:color="auto"/>
            <w:bottom w:val="none" w:sz="0" w:space="0" w:color="auto"/>
            <w:right w:val="none" w:sz="0" w:space="0" w:color="auto"/>
          </w:divBdr>
        </w:div>
        <w:div w:id="1433629529">
          <w:marLeft w:val="0"/>
          <w:marRight w:val="0"/>
          <w:marTop w:val="0"/>
          <w:marBottom w:val="0"/>
          <w:divBdr>
            <w:top w:val="none" w:sz="0" w:space="0" w:color="auto"/>
            <w:left w:val="none" w:sz="0" w:space="0" w:color="auto"/>
            <w:bottom w:val="none" w:sz="0" w:space="0" w:color="auto"/>
            <w:right w:val="none" w:sz="0" w:space="0" w:color="auto"/>
          </w:divBdr>
        </w:div>
        <w:div w:id="1125273350">
          <w:marLeft w:val="0"/>
          <w:marRight w:val="0"/>
          <w:marTop w:val="0"/>
          <w:marBottom w:val="0"/>
          <w:divBdr>
            <w:top w:val="none" w:sz="0" w:space="0" w:color="auto"/>
            <w:left w:val="none" w:sz="0" w:space="0" w:color="auto"/>
            <w:bottom w:val="none" w:sz="0" w:space="0" w:color="auto"/>
            <w:right w:val="none" w:sz="0" w:space="0" w:color="auto"/>
          </w:divBdr>
        </w:div>
        <w:div w:id="880241633">
          <w:marLeft w:val="0"/>
          <w:marRight w:val="0"/>
          <w:marTop w:val="0"/>
          <w:marBottom w:val="0"/>
          <w:divBdr>
            <w:top w:val="none" w:sz="0" w:space="0" w:color="auto"/>
            <w:left w:val="none" w:sz="0" w:space="0" w:color="auto"/>
            <w:bottom w:val="none" w:sz="0" w:space="0" w:color="auto"/>
            <w:right w:val="none" w:sz="0" w:space="0" w:color="auto"/>
          </w:divBdr>
        </w:div>
        <w:div w:id="910236190">
          <w:marLeft w:val="0"/>
          <w:marRight w:val="0"/>
          <w:marTop w:val="0"/>
          <w:marBottom w:val="0"/>
          <w:divBdr>
            <w:top w:val="none" w:sz="0" w:space="0" w:color="auto"/>
            <w:left w:val="none" w:sz="0" w:space="0" w:color="auto"/>
            <w:bottom w:val="none" w:sz="0" w:space="0" w:color="auto"/>
            <w:right w:val="none" w:sz="0" w:space="0" w:color="auto"/>
          </w:divBdr>
        </w:div>
        <w:div w:id="252051793">
          <w:marLeft w:val="0"/>
          <w:marRight w:val="0"/>
          <w:marTop w:val="0"/>
          <w:marBottom w:val="0"/>
          <w:divBdr>
            <w:top w:val="none" w:sz="0" w:space="0" w:color="auto"/>
            <w:left w:val="none" w:sz="0" w:space="0" w:color="auto"/>
            <w:bottom w:val="none" w:sz="0" w:space="0" w:color="auto"/>
            <w:right w:val="none" w:sz="0" w:space="0" w:color="auto"/>
          </w:divBdr>
        </w:div>
        <w:div w:id="4598721">
          <w:marLeft w:val="0"/>
          <w:marRight w:val="0"/>
          <w:marTop w:val="0"/>
          <w:marBottom w:val="0"/>
          <w:divBdr>
            <w:top w:val="none" w:sz="0" w:space="0" w:color="auto"/>
            <w:left w:val="none" w:sz="0" w:space="0" w:color="auto"/>
            <w:bottom w:val="none" w:sz="0" w:space="0" w:color="auto"/>
            <w:right w:val="none" w:sz="0" w:space="0" w:color="auto"/>
          </w:divBdr>
        </w:div>
      </w:divsChild>
    </w:div>
    <w:div w:id="647781077">
      <w:bodyDiv w:val="1"/>
      <w:marLeft w:val="0"/>
      <w:marRight w:val="0"/>
      <w:marTop w:val="0"/>
      <w:marBottom w:val="0"/>
      <w:divBdr>
        <w:top w:val="none" w:sz="0" w:space="0" w:color="auto"/>
        <w:left w:val="none" w:sz="0" w:space="0" w:color="auto"/>
        <w:bottom w:val="none" w:sz="0" w:space="0" w:color="auto"/>
        <w:right w:val="none" w:sz="0" w:space="0" w:color="auto"/>
      </w:divBdr>
    </w:div>
    <w:div w:id="653799234">
      <w:bodyDiv w:val="1"/>
      <w:marLeft w:val="0"/>
      <w:marRight w:val="0"/>
      <w:marTop w:val="0"/>
      <w:marBottom w:val="0"/>
      <w:divBdr>
        <w:top w:val="none" w:sz="0" w:space="0" w:color="auto"/>
        <w:left w:val="none" w:sz="0" w:space="0" w:color="auto"/>
        <w:bottom w:val="none" w:sz="0" w:space="0" w:color="auto"/>
        <w:right w:val="none" w:sz="0" w:space="0" w:color="auto"/>
      </w:divBdr>
    </w:div>
    <w:div w:id="682125241">
      <w:bodyDiv w:val="1"/>
      <w:marLeft w:val="0"/>
      <w:marRight w:val="0"/>
      <w:marTop w:val="0"/>
      <w:marBottom w:val="0"/>
      <w:divBdr>
        <w:top w:val="none" w:sz="0" w:space="0" w:color="auto"/>
        <w:left w:val="none" w:sz="0" w:space="0" w:color="auto"/>
        <w:bottom w:val="none" w:sz="0" w:space="0" w:color="auto"/>
        <w:right w:val="none" w:sz="0" w:space="0" w:color="auto"/>
      </w:divBdr>
    </w:div>
    <w:div w:id="754008766">
      <w:bodyDiv w:val="1"/>
      <w:marLeft w:val="0"/>
      <w:marRight w:val="0"/>
      <w:marTop w:val="0"/>
      <w:marBottom w:val="0"/>
      <w:divBdr>
        <w:top w:val="none" w:sz="0" w:space="0" w:color="auto"/>
        <w:left w:val="none" w:sz="0" w:space="0" w:color="auto"/>
        <w:bottom w:val="none" w:sz="0" w:space="0" w:color="auto"/>
        <w:right w:val="none" w:sz="0" w:space="0" w:color="auto"/>
      </w:divBdr>
      <w:divsChild>
        <w:div w:id="154885723">
          <w:marLeft w:val="0"/>
          <w:marRight w:val="0"/>
          <w:marTop w:val="0"/>
          <w:marBottom w:val="0"/>
          <w:divBdr>
            <w:top w:val="none" w:sz="0" w:space="0" w:color="auto"/>
            <w:left w:val="none" w:sz="0" w:space="0" w:color="auto"/>
            <w:bottom w:val="none" w:sz="0" w:space="0" w:color="auto"/>
            <w:right w:val="none" w:sz="0" w:space="0" w:color="auto"/>
          </w:divBdr>
        </w:div>
        <w:div w:id="1639265498">
          <w:marLeft w:val="0"/>
          <w:marRight w:val="0"/>
          <w:marTop w:val="0"/>
          <w:marBottom w:val="0"/>
          <w:divBdr>
            <w:top w:val="none" w:sz="0" w:space="0" w:color="auto"/>
            <w:left w:val="none" w:sz="0" w:space="0" w:color="auto"/>
            <w:bottom w:val="none" w:sz="0" w:space="0" w:color="auto"/>
            <w:right w:val="none" w:sz="0" w:space="0" w:color="auto"/>
          </w:divBdr>
        </w:div>
        <w:div w:id="855735484">
          <w:marLeft w:val="0"/>
          <w:marRight w:val="0"/>
          <w:marTop w:val="0"/>
          <w:marBottom w:val="0"/>
          <w:divBdr>
            <w:top w:val="none" w:sz="0" w:space="0" w:color="auto"/>
            <w:left w:val="none" w:sz="0" w:space="0" w:color="auto"/>
            <w:bottom w:val="none" w:sz="0" w:space="0" w:color="auto"/>
            <w:right w:val="none" w:sz="0" w:space="0" w:color="auto"/>
          </w:divBdr>
        </w:div>
        <w:div w:id="1528562643">
          <w:marLeft w:val="0"/>
          <w:marRight w:val="0"/>
          <w:marTop w:val="0"/>
          <w:marBottom w:val="0"/>
          <w:divBdr>
            <w:top w:val="none" w:sz="0" w:space="0" w:color="auto"/>
            <w:left w:val="none" w:sz="0" w:space="0" w:color="auto"/>
            <w:bottom w:val="none" w:sz="0" w:space="0" w:color="auto"/>
            <w:right w:val="none" w:sz="0" w:space="0" w:color="auto"/>
          </w:divBdr>
        </w:div>
        <w:div w:id="1130972179">
          <w:marLeft w:val="0"/>
          <w:marRight w:val="0"/>
          <w:marTop w:val="0"/>
          <w:marBottom w:val="0"/>
          <w:divBdr>
            <w:top w:val="none" w:sz="0" w:space="0" w:color="auto"/>
            <w:left w:val="none" w:sz="0" w:space="0" w:color="auto"/>
            <w:bottom w:val="none" w:sz="0" w:space="0" w:color="auto"/>
            <w:right w:val="none" w:sz="0" w:space="0" w:color="auto"/>
          </w:divBdr>
        </w:div>
        <w:div w:id="873348918">
          <w:marLeft w:val="0"/>
          <w:marRight w:val="0"/>
          <w:marTop w:val="0"/>
          <w:marBottom w:val="0"/>
          <w:divBdr>
            <w:top w:val="none" w:sz="0" w:space="0" w:color="auto"/>
            <w:left w:val="none" w:sz="0" w:space="0" w:color="auto"/>
            <w:bottom w:val="none" w:sz="0" w:space="0" w:color="auto"/>
            <w:right w:val="none" w:sz="0" w:space="0" w:color="auto"/>
          </w:divBdr>
        </w:div>
        <w:div w:id="103809364">
          <w:marLeft w:val="0"/>
          <w:marRight w:val="0"/>
          <w:marTop w:val="0"/>
          <w:marBottom w:val="0"/>
          <w:divBdr>
            <w:top w:val="none" w:sz="0" w:space="0" w:color="auto"/>
            <w:left w:val="none" w:sz="0" w:space="0" w:color="auto"/>
            <w:bottom w:val="none" w:sz="0" w:space="0" w:color="auto"/>
            <w:right w:val="none" w:sz="0" w:space="0" w:color="auto"/>
          </w:divBdr>
        </w:div>
        <w:div w:id="1780182360">
          <w:marLeft w:val="0"/>
          <w:marRight w:val="0"/>
          <w:marTop w:val="0"/>
          <w:marBottom w:val="0"/>
          <w:divBdr>
            <w:top w:val="none" w:sz="0" w:space="0" w:color="auto"/>
            <w:left w:val="none" w:sz="0" w:space="0" w:color="auto"/>
            <w:bottom w:val="none" w:sz="0" w:space="0" w:color="auto"/>
            <w:right w:val="none" w:sz="0" w:space="0" w:color="auto"/>
          </w:divBdr>
        </w:div>
        <w:div w:id="1901284929">
          <w:marLeft w:val="0"/>
          <w:marRight w:val="0"/>
          <w:marTop w:val="0"/>
          <w:marBottom w:val="0"/>
          <w:divBdr>
            <w:top w:val="none" w:sz="0" w:space="0" w:color="auto"/>
            <w:left w:val="none" w:sz="0" w:space="0" w:color="auto"/>
            <w:bottom w:val="none" w:sz="0" w:space="0" w:color="auto"/>
            <w:right w:val="none" w:sz="0" w:space="0" w:color="auto"/>
          </w:divBdr>
        </w:div>
        <w:div w:id="1066875865">
          <w:marLeft w:val="0"/>
          <w:marRight w:val="0"/>
          <w:marTop w:val="0"/>
          <w:marBottom w:val="0"/>
          <w:divBdr>
            <w:top w:val="none" w:sz="0" w:space="0" w:color="auto"/>
            <w:left w:val="none" w:sz="0" w:space="0" w:color="auto"/>
            <w:bottom w:val="none" w:sz="0" w:space="0" w:color="auto"/>
            <w:right w:val="none" w:sz="0" w:space="0" w:color="auto"/>
          </w:divBdr>
        </w:div>
        <w:div w:id="2122407722">
          <w:marLeft w:val="0"/>
          <w:marRight w:val="0"/>
          <w:marTop w:val="0"/>
          <w:marBottom w:val="0"/>
          <w:divBdr>
            <w:top w:val="none" w:sz="0" w:space="0" w:color="auto"/>
            <w:left w:val="none" w:sz="0" w:space="0" w:color="auto"/>
            <w:bottom w:val="none" w:sz="0" w:space="0" w:color="auto"/>
            <w:right w:val="none" w:sz="0" w:space="0" w:color="auto"/>
          </w:divBdr>
        </w:div>
        <w:div w:id="8873649">
          <w:marLeft w:val="0"/>
          <w:marRight w:val="0"/>
          <w:marTop w:val="0"/>
          <w:marBottom w:val="0"/>
          <w:divBdr>
            <w:top w:val="none" w:sz="0" w:space="0" w:color="auto"/>
            <w:left w:val="none" w:sz="0" w:space="0" w:color="auto"/>
            <w:bottom w:val="none" w:sz="0" w:space="0" w:color="auto"/>
            <w:right w:val="none" w:sz="0" w:space="0" w:color="auto"/>
          </w:divBdr>
        </w:div>
        <w:div w:id="826555184">
          <w:marLeft w:val="0"/>
          <w:marRight w:val="0"/>
          <w:marTop w:val="0"/>
          <w:marBottom w:val="0"/>
          <w:divBdr>
            <w:top w:val="none" w:sz="0" w:space="0" w:color="auto"/>
            <w:left w:val="none" w:sz="0" w:space="0" w:color="auto"/>
            <w:bottom w:val="none" w:sz="0" w:space="0" w:color="auto"/>
            <w:right w:val="none" w:sz="0" w:space="0" w:color="auto"/>
          </w:divBdr>
        </w:div>
      </w:divsChild>
    </w:div>
    <w:div w:id="805397335">
      <w:bodyDiv w:val="1"/>
      <w:marLeft w:val="0"/>
      <w:marRight w:val="0"/>
      <w:marTop w:val="0"/>
      <w:marBottom w:val="0"/>
      <w:divBdr>
        <w:top w:val="none" w:sz="0" w:space="0" w:color="auto"/>
        <w:left w:val="none" w:sz="0" w:space="0" w:color="auto"/>
        <w:bottom w:val="none" w:sz="0" w:space="0" w:color="auto"/>
        <w:right w:val="none" w:sz="0" w:space="0" w:color="auto"/>
      </w:divBdr>
    </w:div>
    <w:div w:id="981811484">
      <w:bodyDiv w:val="1"/>
      <w:marLeft w:val="0"/>
      <w:marRight w:val="0"/>
      <w:marTop w:val="0"/>
      <w:marBottom w:val="0"/>
      <w:divBdr>
        <w:top w:val="none" w:sz="0" w:space="0" w:color="auto"/>
        <w:left w:val="none" w:sz="0" w:space="0" w:color="auto"/>
        <w:bottom w:val="none" w:sz="0" w:space="0" w:color="auto"/>
        <w:right w:val="none" w:sz="0" w:space="0" w:color="auto"/>
      </w:divBdr>
      <w:divsChild>
        <w:div w:id="1645968784">
          <w:marLeft w:val="0"/>
          <w:marRight w:val="0"/>
          <w:marTop w:val="0"/>
          <w:marBottom w:val="0"/>
          <w:divBdr>
            <w:top w:val="none" w:sz="0" w:space="0" w:color="auto"/>
            <w:left w:val="none" w:sz="0" w:space="0" w:color="auto"/>
            <w:bottom w:val="none" w:sz="0" w:space="0" w:color="auto"/>
            <w:right w:val="none" w:sz="0" w:space="0" w:color="auto"/>
          </w:divBdr>
          <w:divsChild>
            <w:div w:id="1840191869">
              <w:marLeft w:val="0"/>
              <w:marRight w:val="0"/>
              <w:marTop w:val="100"/>
              <w:marBottom w:val="100"/>
              <w:divBdr>
                <w:top w:val="none" w:sz="0" w:space="0" w:color="auto"/>
                <w:left w:val="none" w:sz="0" w:space="0" w:color="auto"/>
                <w:bottom w:val="none" w:sz="0" w:space="0" w:color="auto"/>
                <w:right w:val="none" w:sz="0" w:space="0" w:color="auto"/>
              </w:divBdr>
              <w:divsChild>
                <w:div w:id="1599604162">
                  <w:marLeft w:val="0"/>
                  <w:marRight w:val="0"/>
                  <w:marTop w:val="0"/>
                  <w:marBottom w:val="0"/>
                  <w:divBdr>
                    <w:top w:val="none" w:sz="0" w:space="0" w:color="auto"/>
                    <w:left w:val="none" w:sz="0" w:space="0" w:color="auto"/>
                    <w:bottom w:val="none" w:sz="0" w:space="0" w:color="auto"/>
                    <w:right w:val="none" w:sz="0" w:space="0" w:color="auto"/>
                  </w:divBdr>
                  <w:divsChild>
                    <w:div w:id="1825078440">
                      <w:marLeft w:val="0"/>
                      <w:marRight w:val="0"/>
                      <w:marTop w:val="0"/>
                      <w:marBottom w:val="0"/>
                      <w:divBdr>
                        <w:top w:val="none" w:sz="0" w:space="0" w:color="auto"/>
                        <w:left w:val="none" w:sz="0" w:space="0" w:color="auto"/>
                        <w:bottom w:val="none" w:sz="0" w:space="0" w:color="auto"/>
                        <w:right w:val="none" w:sz="0" w:space="0" w:color="auto"/>
                      </w:divBdr>
                      <w:divsChild>
                        <w:div w:id="1637830180">
                          <w:marLeft w:val="0"/>
                          <w:marRight w:val="0"/>
                          <w:marTop w:val="0"/>
                          <w:marBottom w:val="0"/>
                          <w:divBdr>
                            <w:top w:val="none" w:sz="0" w:space="0" w:color="auto"/>
                            <w:left w:val="none" w:sz="0" w:space="0" w:color="auto"/>
                            <w:bottom w:val="none" w:sz="0" w:space="0" w:color="auto"/>
                            <w:right w:val="none" w:sz="0" w:space="0" w:color="auto"/>
                          </w:divBdr>
                          <w:divsChild>
                            <w:div w:id="1863401829">
                              <w:marLeft w:val="0"/>
                              <w:marRight w:val="0"/>
                              <w:marTop w:val="0"/>
                              <w:marBottom w:val="0"/>
                              <w:divBdr>
                                <w:top w:val="none" w:sz="0" w:space="0" w:color="auto"/>
                                <w:left w:val="none" w:sz="0" w:space="0" w:color="auto"/>
                                <w:bottom w:val="none" w:sz="0" w:space="0" w:color="auto"/>
                                <w:right w:val="none" w:sz="0" w:space="0" w:color="auto"/>
                              </w:divBdr>
                              <w:divsChild>
                                <w:div w:id="240680341">
                                  <w:marLeft w:val="0"/>
                                  <w:marRight w:val="0"/>
                                  <w:marTop w:val="0"/>
                                  <w:marBottom w:val="0"/>
                                  <w:divBdr>
                                    <w:top w:val="none" w:sz="0" w:space="0" w:color="auto"/>
                                    <w:left w:val="none" w:sz="0" w:space="0" w:color="auto"/>
                                    <w:bottom w:val="none" w:sz="0" w:space="0" w:color="auto"/>
                                    <w:right w:val="none" w:sz="0" w:space="0" w:color="auto"/>
                                  </w:divBdr>
                                  <w:divsChild>
                                    <w:div w:id="1137382432">
                                      <w:marLeft w:val="0"/>
                                      <w:marRight w:val="0"/>
                                      <w:marTop w:val="0"/>
                                      <w:marBottom w:val="0"/>
                                      <w:divBdr>
                                        <w:top w:val="none" w:sz="0" w:space="0" w:color="auto"/>
                                        <w:left w:val="none" w:sz="0" w:space="0" w:color="auto"/>
                                        <w:bottom w:val="none" w:sz="0" w:space="0" w:color="auto"/>
                                        <w:right w:val="none" w:sz="0" w:space="0" w:color="auto"/>
                                      </w:divBdr>
                                      <w:divsChild>
                                        <w:div w:id="778597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705007">
      <w:bodyDiv w:val="1"/>
      <w:marLeft w:val="0"/>
      <w:marRight w:val="0"/>
      <w:marTop w:val="0"/>
      <w:marBottom w:val="0"/>
      <w:divBdr>
        <w:top w:val="none" w:sz="0" w:space="0" w:color="auto"/>
        <w:left w:val="none" w:sz="0" w:space="0" w:color="auto"/>
        <w:bottom w:val="none" w:sz="0" w:space="0" w:color="auto"/>
        <w:right w:val="none" w:sz="0" w:space="0" w:color="auto"/>
      </w:divBdr>
    </w:div>
    <w:div w:id="1041323105">
      <w:bodyDiv w:val="1"/>
      <w:marLeft w:val="0"/>
      <w:marRight w:val="0"/>
      <w:marTop w:val="0"/>
      <w:marBottom w:val="0"/>
      <w:divBdr>
        <w:top w:val="none" w:sz="0" w:space="0" w:color="auto"/>
        <w:left w:val="none" w:sz="0" w:space="0" w:color="auto"/>
        <w:bottom w:val="none" w:sz="0" w:space="0" w:color="auto"/>
        <w:right w:val="none" w:sz="0" w:space="0" w:color="auto"/>
      </w:divBdr>
    </w:div>
    <w:div w:id="1053652653">
      <w:bodyDiv w:val="1"/>
      <w:marLeft w:val="0"/>
      <w:marRight w:val="0"/>
      <w:marTop w:val="0"/>
      <w:marBottom w:val="0"/>
      <w:divBdr>
        <w:top w:val="none" w:sz="0" w:space="0" w:color="auto"/>
        <w:left w:val="none" w:sz="0" w:space="0" w:color="auto"/>
        <w:bottom w:val="none" w:sz="0" w:space="0" w:color="auto"/>
        <w:right w:val="none" w:sz="0" w:space="0" w:color="auto"/>
      </w:divBdr>
    </w:div>
    <w:div w:id="1176504448">
      <w:bodyDiv w:val="1"/>
      <w:marLeft w:val="0"/>
      <w:marRight w:val="0"/>
      <w:marTop w:val="0"/>
      <w:marBottom w:val="0"/>
      <w:divBdr>
        <w:top w:val="none" w:sz="0" w:space="0" w:color="auto"/>
        <w:left w:val="none" w:sz="0" w:space="0" w:color="auto"/>
        <w:bottom w:val="none" w:sz="0" w:space="0" w:color="auto"/>
        <w:right w:val="none" w:sz="0" w:space="0" w:color="auto"/>
      </w:divBdr>
    </w:div>
    <w:div w:id="1230920536">
      <w:bodyDiv w:val="1"/>
      <w:marLeft w:val="0"/>
      <w:marRight w:val="0"/>
      <w:marTop w:val="0"/>
      <w:marBottom w:val="0"/>
      <w:divBdr>
        <w:top w:val="none" w:sz="0" w:space="0" w:color="auto"/>
        <w:left w:val="none" w:sz="0" w:space="0" w:color="auto"/>
        <w:bottom w:val="none" w:sz="0" w:space="0" w:color="auto"/>
        <w:right w:val="none" w:sz="0" w:space="0" w:color="auto"/>
      </w:divBdr>
    </w:div>
    <w:div w:id="1244752855">
      <w:bodyDiv w:val="1"/>
      <w:marLeft w:val="0"/>
      <w:marRight w:val="0"/>
      <w:marTop w:val="0"/>
      <w:marBottom w:val="0"/>
      <w:divBdr>
        <w:top w:val="none" w:sz="0" w:space="0" w:color="auto"/>
        <w:left w:val="none" w:sz="0" w:space="0" w:color="auto"/>
        <w:bottom w:val="none" w:sz="0" w:space="0" w:color="auto"/>
        <w:right w:val="none" w:sz="0" w:space="0" w:color="auto"/>
      </w:divBdr>
    </w:div>
    <w:div w:id="1264605695">
      <w:bodyDiv w:val="1"/>
      <w:marLeft w:val="0"/>
      <w:marRight w:val="0"/>
      <w:marTop w:val="0"/>
      <w:marBottom w:val="0"/>
      <w:divBdr>
        <w:top w:val="none" w:sz="0" w:space="0" w:color="auto"/>
        <w:left w:val="none" w:sz="0" w:space="0" w:color="auto"/>
        <w:bottom w:val="none" w:sz="0" w:space="0" w:color="auto"/>
        <w:right w:val="none" w:sz="0" w:space="0" w:color="auto"/>
      </w:divBdr>
    </w:div>
    <w:div w:id="1265722500">
      <w:bodyDiv w:val="1"/>
      <w:marLeft w:val="0"/>
      <w:marRight w:val="0"/>
      <w:marTop w:val="0"/>
      <w:marBottom w:val="0"/>
      <w:divBdr>
        <w:top w:val="none" w:sz="0" w:space="0" w:color="auto"/>
        <w:left w:val="none" w:sz="0" w:space="0" w:color="auto"/>
        <w:bottom w:val="none" w:sz="0" w:space="0" w:color="auto"/>
        <w:right w:val="none" w:sz="0" w:space="0" w:color="auto"/>
      </w:divBdr>
    </w:div>
    <w:div w:id="1267663097">
      <w:bodyDiv w:val="1"/>
      <w:marLeft w:val="0"/>
      <w:marRight w:val="0"/>
      <w:marTop w:val="0"/>
      <w:marBottom w:val="0"/>
      <w:divBdr>
        <w:top w:val="none" w:sz="0" w:space="0" w:color="auto"/>
        <w:left w:val="none" w:sz="0" w:space="0" w:color="auto"/>
        <w:bottom w:val="none" w:sz="0" w:space="0" w:color="auto"/>
        <w:right w:val="none" w:sz="0" w:space="0" w:color="auto"/>
      </w:divBdr>
    </w:div>
    <w:div w:id="1273589637">
      <w:bodyDiv w:val="1"/>
      <w:marLeft w:val="0"/>
      <w:marRight w:val="0"/>
      <w:marTop w:val="0"/>
      <w:marBottom w:val="0"/>
      <w:divBdr>
        <w:top w:val="none" w:sz="0" w:space="0" w:color="auto"/>
        <w:left w:val="none" w:sz="0" w:space="0" w:color="auto"/>
        <w:bottom w:val="none" w:sz="0" w:space="0" w:color="auto"/>
        <w:right w:val="none" w:sz="0" w:space="0" w:color="auto"/>
      </w:divBdr>
    </w:div>
    <w:div w:id="1275868414">
      <w:bodyDiv w:val="1"/>
      <w:marLeft w:val="0"/>
      <w:marRight w:val="0"/>
      <w:marTop w:val="0"/>
      <w:marBottom w:val="0"/>
      <w:divBdr>
        <w:top w:val="none" w:sz="0" w:space="0" w:color="auto"/>
        <w:left w:val="none" w:sz="0" w:space="0" w:color="auto"/>
        <w:bottom w:val="none" w:sz="0" w:space="0" w:color="auto"/>
        <w:right w:val="none" w:sz="0" w:space="0" w:color="auto"/>
      </w:divBdr>
    </w:div>
    <w:div w:id="1280333038">
      <w:bodyDiv w:val="1"/>
      <w:marLeft w:val="0"/>
      <w:marRight w:val="0"/>
      <w:marTop w:val="0"/>
      <w:marBottom w:val="0"/>
      <w:divBdr>
        <w:top w:val="none" w:sz="0" w:space="0" w:color="auto"/>
        <w:left w:val="none" w:sz="0" w:space="0" w:color="auto"/>
        <w:bottom w:val="none" w:sz="0" w:space="0" w:color="auto"/>
        <w:right w:val="none" w:sz="0" w:space="0" w:color="auto"/>
      </w:divBdr>
    </w:div>
    <w:div w:id="1303659279">
      <w:bodyDiv w:val="1"/>
      <w:marLeft w:val="0"/>
      <w:marRight w:val="0"/>
      <w:marTop w:val="0"/>
      <w:marBottom w:val="0"/>
      <w:divBdr>
        <w:top w:val="none" w:sz="0" w:space="0" w:color="auto"/>
        <w:left w:val="none" w:sz="0" w:space="0" w:color="auto"/>
        <w:bottom w:val="none" w:sz="0" w:space="0" w:color="auto"/>
        <w:right w:val="none" w:sz="0" w:space="0" w:color="auto"/>
      </w:divBdr>
    </w:div>
    <w:div w:id="1307121629">
      <w:bodyDiv w:val="1"/>
      <w:marLeft w:val="0"/>
      <w:marRight w:val="0"/>
      <w:marTop w:val="0"/>
      <w:marBottom w:val="0"/>
      <w:divBdr>
        <w:top w:val="none" w:sz="0" w:space="0" w:color="auto"/>
        <w:left w:val="none" w:sz="0" w:space="0" w:color="auto"/>
        <w:bottom w:val="none" w:sz="0" w:space="0" w:color="auto"/>
        <w:right w:val="none" w:sz="0" w:space="0" w:color="auto"/>
      </w:divBdr>
    </w:div>
    <w:div w:id="1317034795">
      <w:bodyDiv w:val="1"/>
      <w:marLeft w:val="0"/>
      <w:marRight w:val="0"/>
      <w:marTop w:val="0"/>
      <w:marBottom w:val="0"/>
      <w:divBdr>
        <w:top w:val="none" w:sz="0" w:space="0" w:color="auto"/>
        <w:left w:val="none" w:sz="0" w:space="0" w:color="auto"/>
        <w:bottom w:val="none" w:sz="0" w:space="0" w:color="auto"/>
        <w:right w:val="none" w:sz="0" w:space="0" w:color="auto"/>
      </w:divBdr>
    </w:div>
    <w:div w:id="1318799962">
      <w:bodyDiv w:val="1"/>
      <w:marLeft w:val="0"/>
      <w:marRight w:val="0"/>
      <w:marTop w:val="0"/>
      <w:marBottom w:val="0"/>
      <w:divBdr>
        <w:top w:val="none" w:sz="0" w:space="0" w:color="auto"/>
        <w:left w:val="none" w:sz="0" w:space="0" w:color="auto"/>
        <w:bottom w:val="none" w:sz="0" w:space="0" w:color="auto"/>
        <w:right w:val="none" w:sz="0" w:space="0" w:color="auto"/>
      </w:divBdr>
    </w:div>
    <w:div w:id="1319655623">
      <w:bodyDiv w:val="1"/>
      <w:marLeft w:val="0"/>
      <w:marRight w:val="0"/>
      <w:marTop w:val="0"/>
      <w:marBottom w:val="0"/>
      <w:divBdr>
        <w:top w:val="none" w:sz="0" w:space="0" w:color="auto"/>
        <w:left w:val="none" w:sz="0" w:space="0" w:color="auto"/>
        <w:bottom w:val="none" w:sz="0" w:space="0" w:color="auto"/>
        <w:right w:val="none" w:sz="0" w:space="0" w:color="auto"/>
      </w:divBdr>
    </w:div>
    <w:div w:id="1379276195">
      <w:bodyDiv w:val="1"/>
      <w:marLeft w:val="0"/>
      <w:marRight w:val="0"/>
      <w:marTop w:val="0"/>
      <w:marBottom w:val="0"/>
      <w:divBdr>
        <w:top w:val="none" w:sz="0" w:space="0" w:color="auto"/>
        <w:left w:val="none" w:sz="0" w:space="0" w:color="auto"/>
        <w:bottom w:val="none" w:sz="0" w:space="0" w:color="auto"/>
        <w:right w:val="none" w:sz="0" w:space="0" w:color="auto"/>
      </w:divBdr>
    </w:div>
    <w:div w:id="1381324395">
      <w:bodyDiv w:val="1"/>
      <w:marLeft w:val="0"/>
      <w:marRight w:val="0"/>
      <w:marTop w:val="0"/>
      <w:marBottom w:val="0"/>
      <w:divBdr>
        <w:top w:val="none" w:sz="0" w:space="0" w:color="auto"/>
        <w:left w:val="none" w:sz="0" w:space="0" w:color="auto"/>
        <w:bottom w:val="none" w:sz="0" w:space="0" w:color="auto"/>
        <w:right w:val="none" w:sz="0" w:space="0" w:color="auto"/>
      </w:divBdr>
    </w:div>
    <w:div w:id="1387529173">
      <w:bodyDiv w:val="1"/>
      <w:marLeft w:val="0"/>
      <w:marRight w:val="0"/>
      <w:marTop w:val="0"/>
      <w:marBottom w:val="0"/>
      <w:divBdr>
        <w:top w:val="none" w:sz="0" w:space="0" w:color="auto"/>
        <w:left w:val="none" w:sz="0" w:space="0" w:color="auto"/>
        <w:bottom w:val="none" w:sz="0" w:space="0" w:color="auto"/>
        <w:right w:val="none" w:sz="0" w:space="0" w:color="auto"/>
      </w:divBdr>
    </w:div>
    <w:div w:id="1449735731">
      <w:bodyDiv w:val="1"/>
      <w:marLeft w:val="0"/>
      <w:marRight w:val="0"/>
      <w:marTop w:val="0"/>
      <w:marBottom w:val="0"/>
      <w:divBdr>
        <w:top w:val="none" w:sz="0" w:space="0" w:color="auto"/>
        <w:left w:val="none" w:sz="0" w:space="0" w:color="auto"/>
        <w:bottom w:val="none" w:sz="0" w:space="0" w:color="auto"/>
        <w:right w:val="none" w:sz="0" w:space="0" w:color="auto"/>
      </w:divBdr>
    </w:div>
    <w:div w:id="1456291666">
      <w:bodyDiv w:val="1"/>
      <w:marLeft w:val="0"/>
      <w:marRight w:val="0"/>
      <w:marTop w:val="0"/>
      <w:marBottom w:val="0"/>
      <w:divBdr>
        <w:top w:val="none" w:sz="0" w:space="0" w:color="auto"/>
        <w:left w:val="none" w:sz="0" w:space="0" w:color="auto"/>
        <w:bottom w:val="none" w:sz="0" w:space="0" w:color="auto"/>
        <w:right w:val="none" w:sz="0" w:space="0" w:color="auto"/>
      </w:divBdr>
    </w:div>
    <w:div w:id="1460370204">
      <w:bodyDiv w:val="1"/>
      <w:marLeft w:val="0"/>
      <w:marRight w:val="0"/>
      <w:marTop w:val="0"/>
      <w:marBottom w:val="0"/>
      <w:divBdr>
        <w:top w:val="none" w:sz="0" w:space="0" w:color="auto"/>
        <w:left w:val="none" w:sz="0" w:space="0" w:color="auto"/>
        <w:bottom w:val="none" w:sz="0" w:space="0" w:color="auto"/>
        <w:right w:val="none" w:sz="0" w:space="0" w:color="auto"/>
      </w:divBdr>
    </w:div>
    <w:div w:id="1463841320">
      <w:bodyDiv w:val="1"/>
      <w:marLeft w:val="0"/>
      <w:marRight w:val="0"/>
      <w:marTop w:val="0"/>
      <w:marBottom w:val="0"/>
      <w:divBdr>
        <w:top w:val="none" w:sz="0" w:space="0" w:color="auto"/>
        <w:left w:val="none" w:sz="0" w:space="0" w:color="auto"/>
        <w:bottom w:val="none" w:sz="0" w:space="0" w:color="auto"/>
        <w:right w:val="none" w:sz="0" w:space="0" w:color="auto"/>
      </w:divBdr>
    </w:div>
    <w:div w:id="1545631877">
      <w:bodyDiv w:val="1"/>
      <w:marLeft w:val="0"/>
      <w:marRight w:val="0"/>
      <w:marTop w:val="0"/>
      <w:marBottom w:val="0"/>
      <w:divBdr>
        <w:top w:val="none" w:sz="0" w:space="0" w:color="auto"/>
        <w:left w:val="none" w:sz="0" w:space="0" w:color="auto"/>
        <w:bottom w:val="none" w:sz="0" w:space="0" w:color="auto"/>
        <w:right w:val="none" w:sz="0" w:space="0" w:color="auto"/>
      </w:divBdr>
    </w:div>
    <w:div w:id="1557469058">
      <w:bodyDiv w:val="1"/>
      <w:marLeft w:val="0"/>
      <w:marRight w:val="0"/>
      <w:marTop w:val="0"/>
      <w:marBottom w:val="0"/>
      <w:divBdr>
        <w:top w:val="none" w:sz="0" w:space="0" w:color="auto"/>
        <w:left w:val="none" w:sz="0" w:space="0" w:color="auto"/>
        <w:bottom w:val="none" w:sz="0" w:space="0" w:color="auto"/>
        <w:right w:val="none" w:sz="0" w:space="0" w:color="auto"/>
      </w:divBdr>
    </w:div>
    <w:div w:id="1578056511">
      <w:bodyDiv w:val="1"/>
      <w:marLeft w:val="0"/>
      <w:marRight w:val="0"/>
      <w:marTop w:val="0"/>
      <w:marBottom w:val="0"/>
      <w:divBdr>
        <w:top w:val="none" w:sz="0" w:space="0" w:color="auto"/>
        <w:left w:val="none" w:sz="0" w:space="0" w:color="auto"/>
        <w:bottom w:val="none" w:sz="0" w:space="0" w:color="auto"/>
        <w:right w:val="none" w:sz="0" w:space="0" w:color="auto"/>
      </w:divBdr>
    </w:div>
    <w:div w:id="1584796809">
      <w:bodyDiv w:val="1"/>
      <w:marLeft w:val="0"/>
      <w:marRight w:val="0"/>
      <w:marTop w:val="0"/>
      <w:marBottom w:val="0"/>
      <w:divBdr>
        <w:top w:val="none" w:sz="0" w:space="0" w:color="auto"/>
        <w:left w:val="none" w:sz="0" w:space="0" w:color="auto"/>
        <w:bottom w:val="none" w:sz="0" w:space="0" w:color="auto"/>
        <w:right w:val="none" w:sz="0" w:space="0" w:color="auto"/>
      </w:divBdr>
    </w:div>
    <w:div w:id="1609779902">
      <w:bodyDiv w:val="1"/>
      <w:marLeft w:val="0"/>
      <w:marRight w:val="0"/>
      <w:marTop w:val="0"/>
      <w:marBottom w:val="0"/>
      <w:divBdr>
        <w:top w:val="none" w:sz="0" w:space="0" w:color="auto"/>
        <w:left w:val="none" w:sz="0" w:space="0" w:color="auto"/>
        <w:bottom w:val="none" w:sz="0" w:space="0" w:color="auto"/>
        <w:right w:val="none" w:sz="0" w:space="0" w:color="auto"/>
      </w:divBdr>
    </w:div>
    <w:div w:id="1615866403">
      <w:bodyDiv w:val="1"/>
      <w:marLeft w:val="0"/>
      <w:marRight w:val="0"/>
      <w:marTop w:val="0"/>
      <w:marBottom w:val="0"/>
      <w:divBdr>
        <w:top w:val="none" w:sz="0" w:space="0" w:color="auto"/>
        <w:left w:val="none" w:sz="0" w:space="0" w:color="auto"/>
        <w:bottom w:val="none" w:sz="0" w:space="0" w:color="auto"/>
        <w:right w:val="none" w:sz="0" w:space="0" w:color="auto"/>
      </w:divBdr>
    </w:div>
    <w:div w:id="1663393206">
      <w:bodyDiv w:val="1"/>
      <w:marLeft w:val="0"/>
      <w:marRight w:val="0"/>
      <w:marTop w:val="0"/>
      <w:marBottom w:val="0"/>
      <w:divBdr>
        <w:top w:val="none" w:sz="0" w:space="0" w:color="auto"/>
        <w:left w:val="none" w:sz="0" w:space="0" w:color="auto"/>
        <w:bottom w:val="none" w:sz="0" w:space="0" w:color="auto"/>
        <w:right w:val="none" w:sz="0" w:space="0" w:color="auto"/>
      </w:divBdr>
    </w:div>
    <w:div w:id="1668706703">
      <w:bodyDiv w:val="1"/>
      <w:marLeft w:val="0"/>
      <w:marRight w:val="0"/>
      <w:marTop w:val="0"/>
      <w:marBottom w:val="0"/>
      <w:divBdr>
        <w:top w:val="none" w:sz="0" w:space="0" w:color="auto"/>
        <w:left w:val="none" w:sz="0" w:space="0" w:color="auto"/>
        <w:bottom w:val="none" w:sz="0" w:space="0" w:color="auto"/>
        <w:right w:val="none" w:sz="0" w:space="0" w:color="auto"/>
      </w:divBdr>
    </w:div>
    <w:div w:id="1735157145">
      <w:bodyDiv w:val="1"/>
      <w:marLeft w:val="0"/>
      <w:marRight w:val="0"/>
      <w:marTop w:val="0"/>
      <w:marBottom w:val="0"/>
      <w:divBdr>
        <w:top w:val="none" w:sz="0" w:space="0" w:color="auto"/>
        <w:left w:val="none" w:sz="0" w:space="0" w:color="auto"/>
        <w:bottom w:val="none" w:sz="0" w:space="0" w:color="auto"/>
        <w:right w:val="none" w:sz="0" w:space="0" w:color="auto"/>
      </w:divBdr>
    </w:div>
    <w:div w:id="1782528602">
      <w:bodyDiv w:val="1"/>
      <w:marLeft w:val="0"/>
      <w:marRight w:val="0"/>
      <w:marTop w:val="0"/>
      <w:marBottom w:val="0"/>
      <w:divBdr>
        <w:top w:val="none" w:sz="0" w:space="0" w:color="auto"/>
        <w:left w:val="none" w:sz="0" w:space="0" w:color="auto"/>
        <w:bottom w:val="none" w:sz="0" w:space="0" w:color="auto"/>
        <w:right w:val="none" w:sz="0" w:space="0" w:color="auto"/>
      </w:divBdr>
    </w:div>
    <w:div w:id="1846439805">
      <w:bodyDiv w:val="1"/>
      <w:marLeft w:val="0"/>
      <w:marRight w:val="0"/>
      <w:marTop w:val="0"/>
      <w:marBottom w:val="0"/>
      <w:divBdr>
        <w:top w:val="none" w:sz="0" w:space="0" w:color="auto"/>
        <w:left w:val="none" w:sz="0" w:space="0" w:color="auto"/>
        <w:bottom w:val="none" w:sz="0" w:space="0" w:color="auto"/>
        <w:right w:val="none" w:sz="0" w:space="0" w:color="auto"/>
      </w:divBdr>
    </w:div>
    <w:div w:id="1853718099">
      <w:bodyDiv w:val="1"/>
      <w:marLeft w:val="0"/>
      <w:marRight w:val="0"/>
      <w:marTop w:val="0"/>
      <w:marBottom w:val="0"/>
      <w:divBdr>
        <w:top w:val="none" w:sz="0" w:space="0" w:color="auto"/>
        <w:left w:val="none" w:sz="0" w:space="0" w:color="auto"/>
        <w:bottom w:val="none" w:sz="0" w:space="0" w:color="auto"/>
        <w:right w:val="none" w:sz="0" w:space="0" w:color="auto"/>
      </w:divBdr>
    </w:div>
    <w:div w:id="1857426674">
      <w:bodyDiv w:val="1"/>
      <w:marLeft w:val="0"/>
      <w:marRight w:val="0"/>
      <w:marTop w:val="0"/>
      <w:marBottom w:val="0"/>
      <w:divBdr>
        <w:top w:val="none" w:sz="0" w:space="0" w:color="auto"/>
        <w:left w:val="none" w:sz="0" w:space="0" w:color="auto"/>
        <w:bottom w:val="none" w:sz="0" w:space="0" w:color="auto"/>
        <w:right w:val="none" w:sz="0" w:space="0" w:color="auto"/>
      </w:divBdr>
    </w:div>
    <w:div w:id="1901939254">
      <w:bodyDiv w:val="1"/>
      <w:marLeft w:val="0"/>
      <w:marRight w:val="0"/>
      <w:marTop w:val="0"/>
      <w:marBottom w:val="0"/>
      <w:divBdr>
        <w:top w:val="none" w:sz="0" w:space="0" w:color="auto"/>
        <w:left w:val="none" w:sz="0" w:space="0" w:color="auto"/>
        <w:bottom w:val="none" w:sz="0" w:space="0" w:color="auto"/>
        <w:right w:val="none" w:sz="0" w:space="0" w:color="auto"/>
      </w:divBdr>
    </w:div>
    <w:div w:id="1911959574">
      <w:bodyDiv w:val="1"/>
      <w:marLeft w:val="0"/>
      <w:marRight w:val="0"/>
      <w:marTop w:val="0"/>
      <w:marBottom w:val="0"/>
      <w:divBdr>
        <w:top w:val="none" w:sz="0" w:space="0" w:color="auto"/>
        <w:left w:val="none" w:sz="0" w:space="0" w:color="auto"/>
        <w:bottom w:val="none" w:sz="0" w:space="0" w:color="auto"/>
        <w:right w:val="none" w:sz="0" w:space="0" w:color="auto"/>
      </w:divBdr>
    </w:div>
    <w:div w:id="1915896760">
      <w:bodyDiv w:val="1"/>
      <w:marLeft w:val="0"/>
      <w:marRight w:val="0"/>
      <w:marTop w:val="0"/>
      <w:marBottom w:val="0"/>
      <w:divBdr>
        <w:top w:val="none" w:sz="0" w:space="0" w:color="auto"/>
        <w:left w:val="none" w:sz="0" w:space="0" w:color="auto"/>
        <w:bottom w:val="none" w:sz="0" w:space="0" w:color="auto"/>
        <w:right w:val="none" w:sz="0" w:space="0" w:color="auto"/>
      </w:divBdr>
    </w:div>
    <w:div w:id="1937403237">
      <w:bodyDiv w:val="1"/>
      <w:marLeft w:val="0"/>
      <w:marRight w:val="0"/>
      <w:marTop w:val="0"/>
      <w:marBottom w:val="0"/>
      <w:divBdr>
        <w:top w:val="none" w:sz="0" w:space="0" w:color="auto"/>
        <w:left w:val="none" w:sz="0" w:space="0" w:color="auto"/>
        <w:bottom w:val="none" w:sz="0" w:space="0" w:color="auto"/>
        <w:right w:val="none" w:sz="0" w:space="0" w:color="auto"/>
      </w:divBdr>
    </w:div>
    <w:div w:id="1973173758">
      <w:bodyDiv w:val="1"/>
      <w:marLeft w:val="0"/>
      <w:marRight w:val="0"/>
      <w:marTop w:val="0"/>
      <w:marBottom w:val="0"/>
      <w:divBdr>
        <w:top w:val="none" w:sz="0" w:space="0" w:color="auto"/>
        <w:left w:val="none" w:sz="0" w:space="0" w:color="auto"/>
        <w:bottom w:val="none" w:sz="0" w:space="0" w:color="auto"/>
        <w:right w:val="none" w:sz="0" w:space="0" w:color="auto"/>
      </w:divBdr>
    </w:div>
    <w:div w:id="2003728288">
      <w:bodyDiv w:val="1"/>
      <w:marLeft w:val="0"/>
      <w:marRight w:val="0"/>
      <w:marTop w:val="0"/>
      <w:marBottom w:val="0"/>
      <w:divBdr>
        <w:top w:val="none" w:sz="0" w:space="0" w:color="auto"/>
        <w:left w:val="none" w:sz="0" w:space="0" w:color="auto"/>
        <w:bottom w:val="none" w:sz="0" w:space="0" w:color="auto"/>
        <w:right w:val="none" w:sz="0" w:space="0" w:color="auto"/>
      </w:divBdr>
    </w:div>
    <w:div w:id="2020620282">
      <w:bodyDiv w:val="1"/>
      <w:marLeft w:val="0"/>
      <w:marRight w:val="0"/>
      <w:marTop w:val="0"/>
      <w:marBottom w:val="0"/>
      <w:divBdr>
        <w:top w:val="none" w:sz="0" w:space="0" w:color="auto"/>
        <w:left w:val="none" w:sz="0" w:space="0" w:color="auto"/>
        <w:bottom w:val="none" w:sz="0" w:space="0" w:color="auto"/>
        <w:right w:val="none" w:sz="0" w:space="0" w:color="auto"/>
      </w:divBdr>
    </w:div>
    <w:div w:id="2023126848">
      <w:bodyDiv w:val="1"/>
      <w:marLeft w:val="0"/>
      <w:marRight w:val="0"/>
      <w:marTop w:val="0"/>
      <w:marBottom w:val="0"/>
      <w:divBdr>
        <w:top w:val="none" w:sz="0" w:space="0" w:color="auto"/>
        <w:left w:val="none" w:sz="0" w:space="0" w:color="auto"/>
        <w:bottom w:val="none" w:sz="0" w:space="0" w:color="auto"/>
        <w:right w:val="none" w:sz="0" w:space="0" w:color="auto"/>
      </w:divBdr>
    </w:div>
    <w:div w:id="2040353950">
      <w:bodyDiv w:val="1"/>
      <w:marLeft w:val="0"/>
      <w:marRight w:val="0"/>
      <w:marTop w:val="0"/>
      <w:marBottom w:val="0"/>
      <w:divBdr>
        <w:top w:val="none" w:sz="0" w:space="0" w:color="auto"/>
        <w:left w:val="none" w:sz="0" w:space="0" w:color="auto"/>
        <w:bottom w:val="none" w:sz="0" w:space="0" w:color="auto"/>
        <w:right w:val="none" w:sz="0" w:space="0" w:color="auto"/>
      </w:divBdr>
    </w:div>
    <w:div w:id="2060661784">
      <w:bodyDiv w:val="1"/>
      <w:marLeft w:val="0"/>
      <w:marRight w:val="0"/>
      <w:marTop w:val="0"/>
      <w:marBottom w:val="0"/>
      <w:divBdr>
        <w:top w:val="none" w:sz="0" w:space="0" w:color="auto"/>
        <w:left w:val="none" w:sz="0" w:space="0" w:color="auto"/>
        <w:bottom w:val="none" w:sz="0" w:space="0" w:color="auto"/>
        <w:right w:val="none" w:sz="0" w:space="0" w:color="auto"/>
      </w:divBdr>
      <w:divsChild>
        <w:div w:id="684281898">
          <w:marLeft w:val="0"/>
          <w:marRight w:val="0"/>
          <w:marTop w:val="0"/>
          <w:marBottom w:val="0"/>
          <w:divBdr>
            <w:top w:val="none" w:sz="0" w:space="0" w:color="auto"/>
            <w:left w:val="none" w:sz="0" w:space="0" w:color="auto"/>
            <w:bottom w:val="none" w:sz="0" w:space="0" w:color="auto"/>
            <w:right w:val="none" w:sz="0" w:space="0" w:color="auto"/>
          </w:divBdr>
        </w:div>
        <w:div w:id="58097121">
          <w:marLeft w:val="0"/>
          <w:marRight w:val="0"/>
          <w:marTop w:val="0"/>
          <w:marBottom w:val="0"/>
          <w:divBdr>
            <w:top w:val="none" w:sz="0" w:space="0" w:color="auto"/>
            <w:left w:val="none" w:sz="0" w:space="0" w:color="auto"/>
            <w:bottom w:val="none" w:sz="0" w:space="0" w:color="auto"/>
            <w:right w:val="none" w:sz="0" w:space="0" w:color="auto"/>
          </w:divBdr>
        </w:div>
        <w:div w:id="1089079292">
          <w:marLeft w:val="0"/>
          <w:marRight w:val="0"/>
          <w:marTop w:val="0"/>
          <w:marBottom w:val="0"/>
          <w:divBdr>
            <w:top w:val="none" w:sz="0" w:space="0" w:color="auto"/>
            <w:left w:val="none" w:sz="0" w:space="0" w:color="auto"/>
            <w:bottom w:val="none" w:sz="0" w:space="0" w:color="auto"/>
            <w:right w:val="none" w:sz="0" w:space="0" w:color="auto"/>
          </w:divBdr>
        </w:div>
        <w:div w:id="1675645593">
          <w:marLeft w:val="0"/>
          <w:marRight w:val="0"/>
          <w:marTop w:val="0"/>
          <w:marBottom w:val="0"/>
          <w:divBdr>
            <w:top w:val="none" w:sz="0" w:space="0" w:color="auto"/>
            <w:left w:val="none" w:sz="0" w:space="0" w:color="auto"/>
            <w:bottom w:val="none" w:sz="0" w:space="0" w:color="auto"/>
            <w:right w:val="none" w:sz="0" w:space="0" w:color="auto"/>
          </w:divBdr>
        </w:div>
        <w:div w:id="1514150408">
          <w:marLeft w:val="0"/>
          <w:marRight w:val="0"/>
          <w:marTop w:val="0"/>
          <w:marBottom w:val="0"/>
          <w:divBdr>
            <w:top w:val="none" w:sz="0" w:space="0" w:color="auto"/>
            <w:left w:val="none" w:sz="0" w:space="0" w:color="auto"/>
            <w:bottom w:val="none" w:sz="0" w:space="0" w:color="auto"/>
            <w:right w:val="none" w:sz="0" w:space="0" w:color="auto"/>
          </w:divBdr>
        </w:div>
        <w:div w:id="673800102">
          <w:marLeft w:val="0"/>
          <w:marRight w:val="0"/>
          <w:marTop w:val="0"/>
          <w:marBottom w:val="0"/>
          <w:divBdr>
            <w:top w:val="none" w:sz="0" w:space="0" w:color="auto"/>
            <w:left w:val="none" w:sz="0" w:space="0" w:color="auto"/>
            <w:bottom w:val="none" w:sz="0" w:space="0" w:color="auto"/>
            <w:right w:val="none" w:sz="0" w:space="0" w:color="auto"/>
          </w:divBdr>
        </w:div>
        <w:div w:id="2077968173">
          <w:marLeft w:val="0"/>
          <w:marRight w:val="0"/>
          <w:marTop w:val="0"/>
          <w:marBottom w:val="0"/>
          <w:divBdr>
            <w:top w:val="none" w:sz="0" w:space="0" w:color="auto"/>
            <w:left w:val="none" w:sz="0" w:space="0" w:color="auto"/>
            <w:bottom w:val="none" w:sz="0" w:space="0" w:color="auto"/>
            <w:right w:val="none" w:sz="0" w:space="0" w:color="auto"/>
          </w:divBdr>
        </w:div>
        <w:div w:id="394935738">
          <w:marLeft w:val="0"/>
          <w:marRight w:val="0"/>
          <w:marTop w:val="0"/>
          <w:marBottom w:val="0"/>
          <w:divBdr>
            <w:top w:val="none" w:sz="0" w:space="0" w:color="auto"/>
            <w:left w:val="none" w:sz="0" w:space="0" w:color="auto"/>
            <w:bottom w:val="none" w:sz="0" w:space="0" w:color="auto"/>
            <w:right w:val="none" w:sz="0" w:space="0" w:color="auto"/>
          </w:divBdr>
        </w:div>
        <w:div w:id="880869824">
          <w:marLeft w:val="0"/>
          <w:marRight w:val="0"/>
          <w:marTop w:val="0"/>
          <w:marBottom w:val="0"/>
          <w:divBdr>
            <w:top w:val="none" w:sz="0" w:space="0" w:color="auto"/>
            <w:left w:val="none" w:sz="0" w:space="0" w:color="auto"/>
            <w:bottom w:val="none" w:sz="0" w:space="0" w:color="auto"/>
            <w:right w:val="none" w:sz="0" w:space="0" w:color="auto"/>
          </w:divBdr>
        </w:div>
        <w:div w:id="746537765">
          <w:marLeft w:val="0"/>
          <w:marRight w:val="0"/>
          <w:marTop w:val="0"/>
          <w:marBottom w:val="0"/>
          <w:divBdr>
            <w:top w:val="none" w:sz="0" w:space="0" w:color="auto"/>
            <w:left w:val="none" w:sz="0" w:space="0" w:color="auto"/>
            <w:bottom w:val="none" w:sz="0" w:space="0" w:color="auto"/>
            <w:right w:val="none" w:sz="0" w:space="0" w:color="auto"/>
          </w:divBdr>
        </w:div>
        <w:div w:id="1882939723">
          <w:marLeft w:val="0"/>
          <w:marRight w:val="0"/>
          <w:marTop w:val="0"/>
          <w:marBottom w:val="0"/>
          <w:divBdr>
            <w:top w:val="none" w:sz="0" w:space="0" w:color="auto"/>
            <w:left w:val="none" w:sz="0" w:space="0" w:color="auto"/>
            <w:bottom w:val="none" w:sz="0" w:space="0" w:color="auto"/>
            <w:right w:val="none" w:sz="0" w:space="0" w:color="auto"/>
          </w:divBdr>
        </w:div>
        <w:div w:id="625084332">
          <w:marLeft w:val="0"/>
          <w:marRight w:val="0"/>
          <w:marTop w:val="0"/>
          <w:marBottom w:val="0"/>
          <w:divBdr>
            <w:top w:val="none" w:sz="0" w:space="0" w:color="auto"/>
            <w:left w:val="none" w:sz="0" w:space="0" w:color="auto"/>
            <w:bottom w:val="none" w:sz="0" w:space="0" w:color="auto"/>
            <w:right w:val="none" w:sz="0" w:space="0" w:color="auto"/>
          </w:divBdr>
        </w:div>
        <w:div w:id="1584216590">
          <w:marLeft w:val="0"/>
          <w:marRight w:val="0"/>
          <w:marTop w:val="0"/>
          <w:marBottom w:val="0"/>
          <w:divBdr>
            <w:top w:val="none" w:sz="0" w:space="0" w:color="auto"/>
            <w:left w:val="none" w:sz="0" w:space="0" w:color="auto"/>
            <w:bottom w:val="none" w:sz="0" w:space="0" w:color="auto"/>
            <w:right w:val="none" w:sz="0" w:space="0" w:color="auto"/>
          </w:divBdr>
        </w:div>
        <w:div w:id="896743212">
          <w:marLeft w:val="0"/>
          <w:marRight w:val="0"/>
          <w:marTop w:val="0"/>
          <w:marBottom w:val="0"/>
          <w:divBdr>
            <w:top w:val="none" w:sz="0" w:space="0" w:color="auto"/>
            <w:left w:val="none" w:sz="0" w:space="0" w:color="auto"/>
            <w:bottom w:val="none" w:sz="0" w:space="0" w:color="auto"/>
            <w:right w:val="none" w:sz="0" w:space="0" w:color="auto"/>
          </w:divBdr>
        </w:div>
        <w:div w:id="550113689">
          <w:marLeft w:val="0"/>
          <w:marRight w:val="0"/>
          <w:marTop w:val="0"/>
          <w:marBottom w:val="0"/>
          <w:divBdr>
            <w:top w:val="none" w:sz="0" w:space="0" w:color="auto"/>
            <w:left w:val="none" w:sz="0" w:space="0" w:color="auto"/>
            <w:bottom w:val="none" w:sz="0" w:space="0" w:color="auto"/>
            <w:right w:val="none" w:sz="0" w:space="0" w:color="auto"/>
          </w:divBdr>
        </w:div>
        <w:div w:id="539902828">
          <w:marLeft w:val="0"/>
          <w:marRight w:val="0"/>
          <w:marTop w:val="0"/>
          <w:marBottom w:val="0"/>
          <w:divBdr>
            <w:top w:val="none" w:sz="0" w:space="0" w:color="auto"/>
            <w:left w:val="none" w:sz="0" w:space="0" w:color="auto"/>
            <w:bottom w:val="none" w:sz="0" w:space="0" w:color="auto"/>
            <w:right w:val="none" w:sz="0" w:space="0" w:color="auto"/>
          </w:divBdr>
        </w:div>
        <w:div w:id="349142691">
          <w:marLeft w:val="0"/>
          <w:marRight w:val="0"/>
          <w:marTop w:val="0"/>
          <w:marBottom w:val="0"/>
          <w:divBdr>
            <w:top w:val="none" w:sz="0" w:space="0" w:color="auto"/>
            <w:left w:val="none" w:sz="0" w:space="0" w:color="auto"/>
            <w:bottom w:val="none" w:sz="0" w:space="0" w:color="auto"/>
            <w:right w:val="none" w:sz="0" w:space="0" w:color="auto"/>
          </w:divBdr>
        </w:div>
        <w:div w:id="1637836304">
          <w:marLeft w:val="0"/>
          <w:marRight w:val="0"/>
          <w:marTop w:val="0"/>
          <w:marBottom w:val="0"/>
          <w:divBdr>
            <w:top w:val="none" w:sz="0" w:space="0" w:color="auto"/>
            <w:left w:val="none" w:sz="0" w:space="0" w:color="auto"/>
            <w:bottom w:val="none" w:sz="0" w:space="0" w:color="auto"/>
            <w:right w:val="none" w:sz="0" w:space="0" w:color="auto"/>
          </w:divBdr>
        </w:div>
        <w:div w:id="690571006">
          <w:marLeft w:val="0"/>
          <w:marRight w:val="0"/>
          <w:marTop w:val="0"/>
          <w:marBottom w:val="0"/>
          <w:divBdr>
            <w:top w:val="none" w:sz="0" w:space="0" w:color="auto"/>
            <w:left w:val="none" w:sz="0" w:space="0" w:color="auto"/>
            <w:bottom w:val="none" w:sz="0" w:space="0" w:color="auto"/>
            <w:right w:val="none" w:sz="0" w:space="0" w:color="auto"/>
          </w:divBdr>
        </w:div>
        <w:div w:id="299769071">
          <w:marLeft w:val="0"/>
          <w:marRight w:val="0"/>
          <w:marTop w:val="0"/>
          <w:marBottom w:val="0"/>
          <w:divBdr>
            <w:top w:val="none" w:sz="0" w:space="0" w:color="auto"/>
            <w:left w:val="none" w:sz="0" w:space="0" w:color="auto"/>
            <w:bottom w:val="none" w:sz="0" w:space="0" w:color="auto"/>
            <w:right w:val="none" w:sz="0" w:space="0" w:color="auto"/>
          </w:divBdr>
        </w:div>
        <w:div w:id="196241963">
          <w:marLeft w:val="0"/>
          <w:marRight w:val="0"/>
          <w:marTop w:val="0"/>
          <w:marBottom w:val="0"/>
          <w:divBdr>
            <w:top w:val="none" w:sz="0" w:space="0" w:color="auto"/>
            <w:left w:val="none" w:sz="0" w:space="0" w:color="auto"/>
            <w:bottom w:val="none" w:sz="0" w:space="0" w:color="auto"/>
            <w:right w:val="none" w:sz="0" w:space="0" w:color="auto"/>
          </w:divBdr>
        </w:div>
        <w:div w:id="436755330">
          <w:marLeft w:val="0"/>
          <w:marRight w:val="0"/>
          <w:marTop w:val="0"/>
          <w:marBottom w:val="0"/>
          <w:divBdr>
            <w:top w:val="none" w:sz="0" w:space="0" w:color="auto"/>
            <w:left w:val="none" w:sz="0" w:space="0" w:color="auto"/>
            <w:bottom w:val="none" w:sz="0" w:space="0" w:color="auto"/>
            <w:right w:val="none" w:sz="0" w:space="0" w:color="auto"/>
          </w:divBdr>
        </w:div>
        <w:div w:id="981884171">
          <w:marLeft w:val="0"/>
          <w:marRight w:val="0"/>
          <w:marTop w:val="0"/>
          <w:marBottom w:val="0"/>
          <w:divBdr>
            <w:top w:val="none" w:sz="0" w:space="0" w:color="auto"/>
            <w:left w:val="none" w:sz="0" w:space="0" w:color="auto"/>
            <w:bottom w:val="none" w:sz="0" w:space="0" w:color="auto"/>
            <w:right w:val="none" w:sz="0" w:space="0" w:color="auto"/>
          </w:divBdr>
        </w:div>
        <w:div w:id="53050833">
          <w:marLeft w:val="0"/>
          <w:marRight w:val="0"/>
          <w:marTop w:val="0"/>
          <w:marBottom w:val="0"/>
          <w:divBdr>
            <w:top w:val="none" w:sz="0" w:space="0" w:color="auto"/>
            <w:left w:val="none" w:sz="0" w:space="0" w:color="auto"/>
            <w:bottom w:val="none" w:sz="0" w:space="0" w:color="auto"/>
            <w:right w:val="none" w:sz="0" w:space="0" w:color="auto"/>
          </w:divBdr>
        </w:div>
        <w:div w:id="1872761238">
          <w:marLeft w:val="0"/>
          <w:marRight w:val="0"/>
          <w:marTop w:val="0"/>
          <w:marBottom w:val="0"/>
          <w:divBdr>
            <w:top w:val="none" w:sz="0" w:space="0" w:color="auto"/>
            <w:left w:val="none" w:sz="0" w:space="0" w:color="auto"/>
            <w:bottom w:val="none" w:sz="0" w:space="0" w:color="auto"/>
            <w:right w:val="none" w:sz="0" w:space="0" w:color="auto"/>
          </w:divBdr>
        </w:div>
        <w:div w:id="845873219">
          <w:marLeft w:val="0"/>
          <w:marRight w:val="0"/>
          <w:marTop w:val="0"/>
          <w:marBottom w:val="0"/>
          <w:divBdr>
            <w:top w:val="none" w:sz="0" w:space="0" w:color="auto"/>
            <w:left w:val="none" w:sz="0" w:space="0" w:color="auto"/>
            <w:bottom w:val="none" w:sz="0" w:space="0" w:color="auto"/>
            <w:right w:val="none" w:sz="0" w:space="0" w:color="auto"/>
          </w:divBdr>
        </w:div>
        <w:div w:id="2135520163">
          <w:marLeft w:val="0"/>
          <w:marRight w:val="0"/>
          <w:marTop w:val="0"/>
          <w:marBottom w:val="0"/>
          <w:divBdr>
            <w:top w:val="none" w:sz="0" w:space="0" w:color="auto"/>
            <w:left w:val="none" w:sz="0" w:space="0" w:color="auto"/>
            <w:bottom w:val="none" w:sz="0" w:space="0" w:color="auto"/>
            <w:right w:val="none" w:sz="0" w:space="0" w:color="auto"/>
          </w:divBdr>
        </w:div>
        <w:div w:id="1387607881">
          <w:marLeft w:val="0"/>
          <w:marRight w:val="0"/>
          <w:marTop w:val="0"/>
          <w:marBottom w:val="0"/>
          <w:divBdr>
            <w:top w:val="none" w:sz="0" w:space="0" w:color="auto"/>
            <w:left w:val="none" w:sz="0" w:space="0" w:color="auto"/>
            <w:bottom w:val="none" w:sz="0" w:space="0" w:color="auto"/>
            <w:right w:val="none" w:sz="0" w:space="0" w:color="auto"/>
          </w:divBdr>
        </w:div>
        <w:div w:id="103886333">
          <w:marLeft w:val="0"/>
          <w:marRight w:val="0"/>
          <w:marTop w:val="0"/>
          <w:marBottom w:val="0"/>
          <w:divBdr>
            <w:top w:val="none" w:sz="0" w:space="0" w:color="auto"/>
            <w:left w:val="none" w:sz="0" w:space="0" w:color="auto"/>
            <w:bottom w:val="none" w:sz="0" w:space="0" w:color="auto"/>
            <w:right w:val="none" w:sz="0" w:space="0" w:color="auto"/>
          </w:divBdr>
        </w:div>
        <w:div w:id="1459489794">
          <w:marLeft w:val="0"/>
          <w:marRight w:val="0"/>
          <w:marTop w:val="0"/>
          <w:marBottom w:val="0"/>
          <w:divBdr>
            <w:top w:val="none" w:sz="0" w:space="0" w:color="auto"/>
            <w:left w:val="none" w:sz="0" w:space="0" w:color="auto"/>
            <w:bottom w:val="none" w:sz="0" w:space="0" w:color="auto"/>
            <w:right w:val="none" w:sz="0" w:space="0" w:color="auto"/>
          </w:divBdr>
        </w:div>
        <w:div w:id="720788396">
          <w:marLeft w:val="0"/>
          <w:marRight w:val="0"/>
          <w:marTop w:val="0"/>
          <w:marBottom w:val="0"/>
          <w:divBdr>
            <w:top w:val="none" w:sz="0" w:space="0" w:color="auto"/>
            <w:left w:val="none" w:sz="0" w:space="0" w:color="auto"/>
            <w:bottom w:val="none" w:sz="0" w:space="0" w:color="auto"/>
            <w:right w:val="none" w:sz="0" w:space="0" w:color="auto"/>
          </w:divBdr>
        </w:div>
        <w:div w:id="2042364269">
          <w:marLeft w:val="0"/>
          <w:marRight w:val="0"/>
          <w:marTop w:val="0"/>
          <w:marBottom w:val="0"/>
          <w:divBdr>
            <w:top w:val="none" w:sz="0" w:space="0" w:color="auto"/>
            <w:left w:val="none" w:sz="0" w:space="0" w:color="auto"/>
            <w:bottom w:val="none" w:sz="0" w:space="0" w:color="auto"/>
            <w:right w:val="none" w:sz="0" w:space="0" w:color="auto"/>
          </w:divBdr>
        </w:div>
        <w:div w:id="923685077">
          <w:marLeft w:val="0"/>
          <w:marRight w:val="0"/>
          <w:marTop w:val="0"/>
          <w:marBottom w:val="0"/>
          <w:divBdr>
            <w:top w:val="none" w:sz="0" w:space="0" w:color="auto"/>
            <w:left w:val="none" w:sz="0" w:space="0" w:color="auto"/>
            <w:bottom w:val="none" w:sz="0" w:space="0" w:color="auto"/>
            <w:right w:val="none" w:sz="0" w:space="0" w:color="auto"/>
          </w:divBdr>
        </w:div>
        <w:div w:id="700478693">
          <w:marLeft w:val="0"/>
          <w:marRight w:val="0"/>
          <w:marTop w:val="0"/>
          <w:marBottom w:val="0"/>
          <w:divBdr>
            <w:top w:val="none" w:sz="0" w:space="0" w:color="auto"/>
            <w:left w:val="none" w:sz="0" w:space="0" w:color="auto"/>
            <w:bottom w:val="none" w:sz="0" w:space="0" w:color="auto"/>
            <w:right w:val="none" w:sz="0" w:space="0" w:color="auto"/>
          </w:divBdr>
        </w:div>
        <w:div w:id="656154109">
          <w:marLeft w:val="0"/>
          <w:marRight w:val="0"/>
          <w:marTop w:val="0"/>
          <w:marBottom w:val="0"/>
          <w:divBdr>
            <w:top w:val="none" w:sz="0" w:space="0" w:color="auto"/>
            <w:left w:val="none" w:sz="0" w:space="0" w:color="auto"/>
            <w:bottom w:val="none" w:sz="0" w:space="0" w:color="auto"/>
            <w:right w:val="none" w:sz="0" w:space="0" w:color="auto"/>
          </w:divBdr>
        </w:div>
        <w:div w:id="2100255162">
          <w:marLeft w:val="0"/>
          <w:marRight w:val="0"/>
          <w:marTop w:val="0"/>
          <w:marBottom w:val="0"/>
          <w:divBdr>
            <w:top w:val="none" w:sz="0" w:space="0" w:color="auto"/>
            <w:left w:val="none" w:sz="0" w:space="0" w:color="auto"/>
            <w:bottom w:val="none" w:sz="0" w:space="0" w:color="auto"/>
            <w:right w:val="none" w:sz="0" w:space="0" w:color="auto"/>
          </w:divBdr>
        </w:div>
        <w:div w:id="1677725979">
          <w:marLeft w:val="0"/>
          <w:marRight w:val="0"/>
          <w:marTop w:val="0"/>
          <w:marBottom w:val="0"/>
          <w:divBdr>
            <w:top w:val="none" w:sz="0" w:space="0" w:color="auto"/>
            <w:left w:val="none" w:sz="0" w:space="0" w:color="auto"/>
            <w:bottom w:val="none" w:sz="0" w:space="0" w:color="auto"/>
            <w:right w:val="none" w:sz="0" w:space="0" w:color="auto"/>
          </w:divBdr>
        </w:div>
        <w:div w:id="964892143">
          <w:marLeft w:val="0"/>
          <w:marRight w:val="0"/>
          <w:marTop w:val="0"/>
          <w:marBottom w:val="0"/>
          <w:divBdr>
            <w:top w:val="none" w:sz="0" w:space="0" w:color="auto"/>
            <w:left w:val="none" w:sz="0" w:space="0" w:color="auto"/>
            <w:bottom w:val="none" w:sz="0" w:space="0" w:color="auto"/>
            <w:right w:val="none" w:sz="0" w:space="0" w:color="auto"/>
          </w:divBdr>
        </w:div>
        <w:div w:id="1924801924">
          <w:marLeft w:val="0"/>
          <w:marRight w:val="0"/>
          <w:marTop w:val="0"/>
          <w:marBottom w:val="0"/>
          <w:divBdr>
            <w:top w:val="none" w:sz="0" w:space="0" w:color="auto"/>
            <w:left w:val="none" w:sz="0" w:space="0" w:color="auto"/>
            <w:bottom w:val="none" w:sz="0" w:space="0" w:color="auto"/>
            <w:right w:val="none" w:sz="0" w:space="0" w:color="auto"/>
          </w:divBdr>
        </w:div>
        <w:div w:id="1252200108">
          <w:marLeft w:val="0"/>
          <w:marRight w:val="0"/>
          <w:marTop w:val="0"/>
          <w:marBottom w:val="0"/>
          <w:divBdr>
            <w:top w:val="none" w:sz="0" w:space="0" w:color="auto"/>
            <w:left w:val="none" w:sz="0" w:space="0" w:color="auto"/>
            <w:bottom w:val="none" w:sz="0" w:space="0" w:color="auto"/>
            <w:right w:val="none" w:sz="0" w:space="0" w:color="auto"/>
          </w:divBdr>
        </w:div>
        <w:div w:id="1948611897">
          <w:marLeft w:val="0"/>
          <w:marRight w:val="0"/>
          <w:marTop w:val="0"/>
          <w:marBottom w:val="0"/>
          <w:divBdr>
            <w:top w:val="none" w:sz="0" w:space="0" w:color="auto"/>
            <w:left w:val="none" w:sz="0" w:space="0" w:color="auto"/>
            <w:bottom w:val="none" w:sz="0" w:space="0" w:color="auto"/>
            <w:right w:val="none" w:sz="0" w:space="0" w:color="auto"/>
          </w:divBdr>
        </w:div>
        <w:div w:id="1039091217">
          <w:marLeft w:val="0"/>
          <w:marRight w:val="0"/>
          <w:marTop w:val="0"/>
          <w:marBottom w:val="0"/>
          <w:divBdr>
            <w:top w:val="none" w:sz="0" w:space="0" w:color="auto"/>
            <w:left w:val="none" w:sz="0" w:space="0" w:color="auto"/>
            <w:bottom w:val="none" w:sz="0" w:space="0" w:color="auto"/>
            <w:right w:val="none" w:sz="0" w:space="0" w:color="auto"/>
          </w:divBdr>
        </w:div>
        <w:div w:id="79260324">
          <w:marLeft w:val="0"/>
          <w:marRight w:val="0"/>
          <w:marTop w:val="0"/>
          <w:marBottom w:val="0"/>
          <w:divBdr>
            <w:top w:val="none" w:sz="0" w:space="0" w:color="auto"/>
            <w:left w:val="none" w:sz="0" w:space="0" w:color="auto"/>
            <w:bottom w:val="none" w:sz="0" w:space="0" w:color="auto"/>
            <w:right w:val="none" w:sz="0" w:space="0" w:color="auto"/>
          </w:divBdr>
        </w:div>
        <w:div w:id="829447049">
          <w:marLeft w:val="0"/>
          <w:marRight w:val="0"/>
          <w:marTop w:val="0"/>
          <w:marBottom w:val="0"/>
          <w:divBdr>
            <w:top w:val="none" w:sz="0" w:space="0" w:color="auto"/>
            <w:left w:val="none" w:sz="0" w:space="0" w:color="auto"/>
            <w:bottom w:val="none" w:sz="0" w:space="0" w:color="auto"/>
            <w:right w:val="none" w:sz="0" w:space="0" w:color="auto"/>
          </w:divBdr>
        </w:div>
        <w:div w:id="695153920">
          <w:marLeft w:val="0"/>
          <w:marRight w:val="0"/>
          <w:marTop w:val="0"/>
          <w:marBottom w:val="0"/>
          <w:divBdr>
            <w:top w:val="none" w:sz="0" w:space="0" w:color="auto"/>
            <w:left w:val="none" w:sz="0" w:space="0" w:color="auto"/>
            <w:bottom w:val="none" w:sz="0" w:space="0" w:color="auto"/>
            <w:right w:val="none" w:sz="0" w:space="0" w:color="auto"/>
          </w:divBdr>
        </w:div>
        <w:div w:id="1294556879">
          <w:marLeft w:val="0"/>
          <w:marRight w:val="0"/>
          <w:marTop w:val="0"/>
          <w:marBottom w:val="0"/>
          <w:divBdr>
            <w:top w:val="none" w:sz="0" w:space="0" w:color="auto"/>
            <w:left w:val="none" w:sz="0" w:space="0" w:color="auto"/>
            <w:bottom w:val="none" w:sz="0" w:space="0" w:color="auto"/>
            <w:right w:val="none" w:sz="0" w:space="0" w:color="auto"/>
          </w:divBdr>
        </w:div>
        <w:div w:id="1357807145">
          <w:marLeft w:val="0"/>
          <w:marRight w:val="0"/>
          <w:marTop w:val="0"/>
          <w:marBottom w:val="0"/>
          <w:divBdr>
            <w:top w:val="none" w:sz="0" w:space="0" w:color="auto"/>
            <w:left w:val="none" w:sz="0" w:space="0" w:color="auto"/>
            <w:bottom w:val="none" w:sz="0" w:space="0" w:color="auto"/>
            <w:right w:val="none" w:sz="0" w:space="0" w:color="auto"/>
          </w:divBdr>
        </w:div>
        <w:div w:id="445853788">
          <w:marLeft w:val="0"/>
          <w:marRight w:val="0"/>
          <w:marTop w:val="0"/>
          <w:marBottom w:val="0"/>
          <w:divBdr>
            <w:top w:val="none" w:sz="0" w:space="0" w:color="auto"/>
            <w:left w:val="none" w:sz="0" w:space="0" w:color="auto"/>
            <w:bottom w:val="none" w:sz="0" w:space="0" w:color="auto"/>
            <w:right w:val="none" w:sz="0" w:space="0" w:color="auto"/>
          </w:divBdr>
        </w:div>
        <w:div w:id="1256981087">
          <w:marLeft w:val="0"/>
          <w:marRight w:val="0"/>
          <w:marTop w:val="0"/>
          <w:marBottom w:val="0"/>
          <w:divBdr>
            <w:top w:val="none" w:sz="0" w:space="0" w:color="auto"/>
            <w:left w:val="none" w:sz="0" w:space="0" w:color="auto"/>
            <w:bottom w:val="none" w:sz="0" w:space="0" w:color="auto"/>
            <w:right w:val="none" w:sz="0" w:space="0" w:color="auto"/>
          </w:divBdr>
        </w:div>
        <w:div w:id="304550970">
          <w:marLeft w:val="0"/>
          <w:marRight w:val="0"/>
          <w:marTop w:val="0"/>
          <w:marBottom w:val="0"/>
          <w:divBdr>
            <w:top w:val="none" w:sz="0" w:space="0" w:color="auto"/>
            <w:left w:val="none" w:sz="0" w:space="0" w:color="auto"/>
            <w:bottom w:val="none" w:sz="0" w:space="0" w:color="auto"/>
            <w:right w:val="none" w:sz="0" w:space="0" w:color="auto"/>
          </w:divBdr>
        </w:div>
        <w:div w:id="159395999">
          <w:marLeft w:val="0"/>
          <w:marRight w:val="0"/>
          <w:marTop w:val="0"/>
          <w:marBottom w:val="0"/>
          <w:divBdr>
            <w:top w:val="none" w:sz="0" w:space="0" w:color="auto"/>
            <w:left w:val="none" w:sz="0" w:space="0" w:color="auto"/>
            <w:bottom w:val="none" w:sz="0" w:space="0" w:color="auto"/>
            <w:right w:val="none" w:sz="0" w:space="0" w:color="auto"/>
          </w:divBdr>
        </w:div>
        <w:div w:id="1521166429">
          <w:marLeft w:val="0"/>
          <w:marRight w:val="0"/>
          <w:marTop w:val="0"/>
          <w:marBottom w:val="0"/>
          <w:divBdr>
            <w:top w:val="none" w:sz="0" w:space="0" w:color="auto"/>
            <w:left w:val="none" w:sz="0" w:space="0" w:color="auto"/>
            <w:bottom w:val="none" w:sz="0" w:space="0" w:color="auto"/>
            <w:right w:val="none" w:sz="0" w:space="0" w:color="auto"/>
          </w:divBdr>
        </w:div>
        <w:div w:id="464546284">
          <w:marLeft w:val="0"/>
          <w:marRight w:val="0"/>
          <w:marTop w:val="0"/>
          <w:marBottom w:val="0"/>
          <w:divBdr>
            <w:top w:val="none" w:sz="0" w:space="0" w:color="auto"/>
            <w:left w:val="none" w:sz="0" w:space="0" w:color="auto"/>
            <w:bottom w:val="none" w:sz="0" w:space="0" w:color="auto"/>
            <w:right w:val="none" w:sz="0" w:space="0" w:color="auto"/>
          </w:divBdr>
        </w:div>
        <w:div w:id="1027869243">
          <w:marLeft w:val="0"/>
          <w:marRight w:val="0"/>
          <w:marTop w:val="0"/>
          <w:marBottom w:val="0"/>
          <w:divBdr>
            <w:top w:val="none" w:sz="0" w:space="0" w:color="auto"/>
            <w:left w:val="none" w:sz="0" w:space="0" w:color="auto"/>
            <w:bottom w:val="none" w:sz="0" w:space="0" w:color="auto"/>
            <w:right w:val="none" w:sz="0" w:space="0" w:color="auto"/>
          </w:divBdr>
        </w:div>
        <w:div w:id="2073039269">
          <w:marLeft w:val="0"/>
          <w:marRight w:val="0"/>
          <w:marTop w:val="0"/>
          <w:marBottom w:val="0"/>
          <w:divBdr>
            <w:top w:val="none" w:sz="0" w:space="0" w:color="auto"/>
            <w:left w:val="none" w:sz="0" w:space="0" w:color="auto"/>
            <w:bottom w:val="none" w:sz="0" w:space="0" w:color="auto"/>
            <w:right w:val="none" w:sz="0" w:space="0" w:color="auto"/>
          </w:divBdr>
        </w:div>
        <w:div w:id="1798453092">
          <w:marLeft w:val="0"/>
          <w:marRight w:val="0"/>
          <w:marTop w:val="0"/>
          <w:marBottom w:val="0"/>
          <w:divBdr>
            <w:top w:val="none" w:sz="0" w:space="0" w:color="auto"/>
            <w:left w:val="none" w:sz="0" w:space="0" w:color="auto"/>
            <w:bottom w:val="none" w:sz="0" w:space="0" w:color="auto"/>
            <w:right w:val="none" w:sz="0" w:space="0" w:color="auto"/>
          </w:divBdr>
        </w:div>
        <w:div w:id="101919822">
          <w:marLeft w:val="0"/>
          <w:marRight w:val="0"/>
          <w:marTop w:val="0"/>
          <w:marBottom w:val="0"/>
          <w:divBdr>
            <w:top w:val="none" w:sz="0" w:space="0" w:color="auto"/>
            <w:left w:val="none" w:sz="0" w:space="0" w:color="auto"/>
            <w:bottom w:val="none" w:sz="0" w:space="0" w:color="auto"/>
            <w:right w:val="none" w:sz="0" w:space="0" w:color="auto"/>
          </w:divBdr>
        </w:div>
        <w:div w:id="896741643">
          <w:marLeft w:val="0"/>
          <w:marRight w:val="0"/>
          <w:marTop w:val="0"/>
          <w:marBottom w:val="0"/>
          <w:divBdr>
            <w:top w:val="none" w:sz="0" w:space="0" w:color="auto"/>
            <w:left w:val="none" w:sz="0" w:space="0" w:color="auto"/>
            <w:bottom w:val="none" w:sz="0" w:space="0" w:color="auto"/>
            <w:right w:val="none" w:sz="0" w:space="0" w:color="auto"/>
          </w:divBdr>
        </w:div>
      </w:divsChild>
    </w:div>
    <w:div w:id="2078898607">
      <w:bodyDiv w:val="1"/>
      <w:marLeft w:val="0"/>
      <w:marRight w:val="0"/>
      <w:marTop w:val="0"/>
      <w:marBottom w:val="0"/>
      <w:divBdr>
        <w:top w:val="none" w:sz="0" w:space="0" w:color="auto"/>
        <w:left w:val="none" w:sz="0" w:space="0" w:color="auto"/>
        <w:bottom w:val="none" w:sz="0" w:space="0" w:color="auto"/>
        <w:right w:val="none" w:sz="0" w:space="0" w:color="auto"/>
      </w:divBdr>
    </w:div>
    <w:div w:id="2120907564">
      <w:bodyDiv w:val="1"/>
      <w:marLeft w:val="0"/>
      <w:marRight w:val="0"/>
      <w:marTop w:val="0"/>
      <w:marBottom w:val="0"/>
      <w:divBdr>
        <w:top w:val="none" w:sz="0" w:space="0" w:color="auto"/>
        <w:left w:val="none" w:sz="0" w:space="0" w:color="auto"/>
        <w:bottom w:val="none" w:sz="0" w:space="0" w:color="auto"/>
        <w:right w:val="none" w:sz="0" w:space="0" w:color="auto"/>
      </w:divBdr>
    </w:div>
    <w:div w:id="2136945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9B6295-0913-482B-8027-F7730F024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4700</Words>
  <Characters>26792</Characters>
  <Application>Microsoft Office Word</Application>
  <DocSecurity>0</DocSecurity>
  <Lines>223</Lines>
  <Paragraphs>62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Ministrstvo</Company>
  <LinksUpToDate>false</LinksUpToDate>
  <CharactersWithSpaces>31430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 Rihar</dc:creator>
  <cp:lastModifiedBy>Janika Gregorič Zečevič</cp:lastModifiedBy>
  <cp:revision>2</cp:revision>
  <cp:lastPrinted>2017-05-29T11:38:00Z</cp:lastPrinted>
  <dcterms:created xsi:type="dcterms:W3CDTF">2017-05-30T12:25:00Z</dcterms:created>
  <dcterms:modified xsi:type="dcterms:W3CDTF">2017-05-30T12:25:00Z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1476153898</vt:i4>
  </property>
</Properties>
</file>